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9"/>
      </w:tblGrid>
      <w:tr w:rsidR="002B2B22" w14:paraId="2F261FB2" w14:textId="77777777" w:rsidTr="00EE5184">
        <w:trPr>
          <w:trHeight w:val="1513"/>
        </w:trPr>
        <w:tc>
          <w:tcPr>
            <w:tcW w:w="2835" w:type="dxa"/>
          </w:tcPr>
          <w:p w14:paraId="0200AAEA" w14:textId="77777777" w:rsidR="002B2B22" w:rsidRDefault="002B2B22" w:rsidP="00EE5184">
            <w:pPr>
              <w:rPr>
                <w:rFonts w:eastAsia="Times New Roman" w:cstheme="minorHAnsi"/>
                <w:sz w:val="24"/>
                <w:szCs w:val="24"/>
              </w:rPr>
            </w:pPr>
            <w:r>
              <w:rPr>
                <w:noProof/>
              </w:rPr>
              <w:drawing>
                <wp:inline distT="0" distB="0" distL="0" distR="0" wp14:anchorId="649AC00F" wp14:editId="4E73168F">
                  <wp:extent cx="1285336" cy="926532"/>
                  <wp:effectExtent l="0" t="0" r="0" b="0"/>
                  <wp:docPr id="1" name="Image 1" descr="Logo de l’AFS, Association Française de Soci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de l’AFS, Association Française de Sociologi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761" t="16313" r="5739" b="22055"/>
                          <a:stretch/>
                        </pic:blipFill>
                        <pic:spPr bwMode="auto">
                          <a:xfrm>
                            <a:off x="0" y="0"/>
                            <a:ext cx="1285336" cy="9265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vAlign w:val="center"/>
          </w:tcPr>
          <w:p w14:paraId="6EA996AA" w14:textId="77777777" w:rsidR="002B2B22" w:rsidRPr="00A57170" w:rsidRDefault="002B2B22" w:rsidP="00EE5184">
            <w:pPr>
              <w:spacing w:before="120"/>
              <w:jc w:val="right"/>
              <w:rPr>
                <w:rFonts w:eastAsia="Times New Roman" w:cstheme="minorHAnsi"/>
                <w:b/>
                <w:spacing w:val="10"/>
                <w:sz w:val="32"/>
                <w:szCs w:val="26"/>
              </w:rPr>
            </w:pPr>
            <w:r w:rsidRPr="00A57170">
              <w:rPr>
                <w:rFonts w:eastAsia="Times New Roman" w:cstheme="minorHAnsi"/>
                <w:b/>
                <w:spacing w:val="10"/>
                <w:sz w:val="32"/>
                <w:szCs w:val="26"/>
              </w:rPr>
              <w:t xml:space="preserve">Réseau thématique 20 </w:t>
            </w:r>
            <w:r>
              <w:rPr>
                <w:rFonts w:eastAsia="Times New Roman" w:cstheme="minorHAnsi"/>
                <w:b/>
                <w:spacing w:val="10"/>
                <w:sz w:val="32"/>
                <w:szCs w:val="26"/>
              </w:rPr>
              <w:t>-</w:t>
            </w:r>
            <w:r w:rsidRPr="00B90803">
              <w:rPr>
                <w:rFonts w:eastAsia="Times New Roman" w:cstheme="minorHAnsi"/>
                <w:b/>
                <w:spacing w:val="10"/>
                <w:sz w:val="32"/>
                <w:szCs w:val="26"/>
              </w:rPr>
              <w:t xml:space="preserve"> Méthodes</w:t>
            </w:r>
          </w:p>
          <w:p w14:paraId="7B05F8C9" w14:textId="77777777" w:rsidR="002B2B22" w:rsidRPr="00A57170" w:rsidRDefault="002B2B22" w:rsidP="00EE5184">
            <w:pPr>
              <w:rPr>
                <w:rFonts w:eastAsia="Times New Roman" w:cstheme="minorHAnsi"/>
                <w:sz w:val="32"/>
                <w:szCs w:val="24"/>
              </w:rPr>
            </w:pPr>
          </w:p>
        </w:tc>
      </w:tr>
    </w:tbl>
    <w:p w14:paraId="2657DB6E" w14:textId="77777777" w:rsidR="008F1F68" w:rsidRDefault="008F1F68">
      <w:pPr>
        <w:pStyle w:val="Titre"/>
        <w:tabs>
          <w:tab w:val="left" w:pos="4677"/>
        </w:tabs>
        <w:jc w:val="center"/>
        <w:rPr>
          <w:rFonts w:ascii="Atkinson Hyperlegible" w:hAnsi="Atkinson Hyperlegible"/>
          <w:sz w:val="48"/>
          <w:szCs w:val="48"/>
        </w:rPr>
      </w:pPr>
    </w:p>
    <w:p w14:paraId="318131C9" w14:textId="062A785A" w:rsidR="00F323B3" w:rsidRPr="00AB5BC3" w:rsidRDefault="00B01643">
      <w:pPr>
        <w:pStyle w:val="Titre"/>
        <w:tabs>
          <w:tab w:val="left" w:pos="4677"/>
        </w:tabs>
        <w:jc w:val="center"/>
        <w:rPr>
          <w:rFonts w:ascii="Atkinson Hyperlegible" w:hAnsi="Atkinson Hyperlegible"/>
          <w:sz w:val="48"/>
          <w:szCs w:val="48"/>
        </w:rPr>
      </w:pPr>
      <w:r w:rsidRPr="00AB5BC3">
        <w:rPr>
          <w:rFonts w:ascii="Atkinson Hyperlegible" w:hAnsi="Atkinson Hyperlegible"/>
          <w:sz w:val="48"/>
          <w:szCs w:val="48"/>
        </w:rPr>
        <w:t>Données et documents administratifs : quels usages et implications pour la recherche en sciences sociales ?</w:t>
      </w:r>
    </w:p>
    <w:p w14:paraId="445FB9CC" w14:textId="77777777" w:rsidR="00F323B3" w:rsidRPr="00AB5BC3" w:rsidRDefault="00B01643" w:rsidP="00AB5BC3">
      <w:pPr>
        <w:pStyle w:val="Sous-titre"/>
        <w:spacing w:after="0"/>
        <w:jc w:val="center"/>
        <w:rPr>
          <w:rFonts w:ascii="Atkinson Hyperlegible" w:hAnsi="Atkinson Hyperlegible"/>
          <w:color w:val="000000" w:themeColor="text1"/>
        </w:rPr>
      </w:pPr>
      <w:r w:rsidRPr="00AB5BC3">
        <w:rPr>
          <w:rFonts w:ascii="Atkinson Hyperlegible" w:hAnsi="Atkinson Hyperlegible"/>
          <w:sz w:val="22"/>
          <w:szCs w:val="22"/>
        </w:rPr>
        <w:br/>
      </w:r>
      <w:r w:rsidRPr="00AB5BC3">
        <w:rPr>
          <w:rFonts w:ascii="Atkinson Hyperlegible" w:hAnsi="Atkinson Hyperlegible"/>
          <w:b/>
          <w:color w:val="000000" w:themeColor="text1"/>
          <w:sz w:val="24"/>
          <w:szCs w:val="24"/>
        </w:rPr>
        <w:t>Appel à communications</w:t>
      </w:r>
    </w:p>
    <w:p w14:paraId="27678F6B" w14:textId="77777777" w:rsidR="00AB5BC3" w:rsidRDefault="00B01643" w:rsidP="00AB5BC3">
      <w:pPr>
        <w:pStyle w:val="Sous-titre"/>
        <w:spacing w:after="0"/>
        <w:jc w:val="center"/>
        <w:rPr>
          <w:rFonts w:ascii="Atkinson Hyperlegible" w:hAnsi="Atkinson Hyperlegible"/>
          <w:color w:val="000000" w:themeColor="text1"/>
          <w:sz w:val="22"/>
          <w:szCs w:val="22"/>
        </w:rPr>
      </w:pPr>
      <w:r w:rsidRPr="00AB5BC3">
        <w:rPr>
          <w:rFonts w:ascii="Atkinson Hyperlegible" w:hAnsi="Atkinson Hyperlegible"/>
          <w:color w:val="000000" w:themeColor="text1"/>
          <w:sz w:val="24"/>
          <w:szCs w:val="24"/>
        </w:rPr>
        <w:t>Journée d’études</w:t>
      </w:r>
      <w:r w:rsidR="00AB5BC3" w:rsidRPr="00AB5BC3">
        <w:rPr>
          <w:rFonts w:ascii="Atkinson Hyperlegible" w:hAnsi="Atkinson Hyperlegible"/>
          <w:color w:val="000000" w:themeColor="text1"/>
          <w:sz w:val="24"/>
          <w:szCs w:val="24"/>
        </w:rPr>
        <w:t xml:space="preserve"> o</w:t>
      </w:r>
      <w:r w:rsidRPr="00AB5BC3">
        <w:rPr>
          <w:rFonts w:ascii="Atkinson Hyperlegible" w:hAnsi="Atkinson Hyperlegible"/>
          <w:color w:val="000000" w:themeColor="text1"/>
          <w:sz w:val="24"/>
          <w:szCs w:val="24"/>
        </w:rPr>
        <w:t>rganisée</w:t>
      </w:r>
      <w:r w:rsidRPr="00AB5BC3">
        <w:rPr>
          <w:rFonts w:ascii="Atkinson Hyperlegible" w:hAnsi="Atkinson Hyperlegible"/>
          <w:color w:val="000000" w:themeColor="text1"/>
          <w:sz w:val="22"/>
          <w:szCs w:val="22"/>
        </w:rPr>
        <w:t xml:space="preserve"> par le RT20 « Méthodes » de l’Association Française de Sociologie (AFS)</w:t>
      </w:r>
    </w:p>
    <w:p w14:paraId="4AF5BA36" w14:textId="77777777" w:rsidR="00F323B3" w:rsidRPr="00AB5BC3" w:rsidRDefault="00B01643" w:rsidP="00AB5BC3">
      <w:pPr>
        <w:pStyle w:val="Sous-titre"/>
        <w:spacing w:after="0"/>
        <w:jc w:val="center"/>
        <w:rPr>
          <w:rFonts w:ascii="Atkinson Hyperlegible" w:hAnsi="Atkinson Hyperlegible"/>
          <w:color w:val="000000" w:themeColor="text1"/>
        </w:rPr>
      </w:pPr>
      <w:r w:rsidRPr="00AB5BC3">
        <w:rPr>
          <w:rFonts w:ascii="Atkinson Hyperlegible" w:hAnsi="Atkinson Hyperlegible"/>
          <w:color w:val="000000" w:themeColor="text1"/>
          <w:sz w:val="22"/>
          <w:szCs w:val="22"/>
        </w:rPr>
        <w:tab/>
      </w:r>
    </w:p>
    <w:p w14:paraId="4FF58840" w14:textId="77777777" w:rsidR="00F323B3" w:rsidRPr="00AB5BC3" w:rsidRDefault="00B01643" w:rsidP="00AB5BC3">
      <w:pPr>
        <w:pStyle w:val="Sous-titre"/>
        <w:spacing w:after="0"/>
        <w:jc w:val="center"/>
        <w:rPr>
          <w:rFonts w:ascii="Atkinson Hyperlegible" w:hAnsi="Atkinson Hyperlegible"/>
          <w:color w:val="000000" w:themeColor="text1"/>
        </w:rPr>
      </w:pPr>
      <w:r w:rsidRPr="00AB5BC3">
        <w:rPr>
          <w:rFonts w:ascii="Atkinson Hyperlegible" w:hAnsi="Atkinson Hyperlegible"/>
          <w:b/>
          <w:color w:val="000000" w:themeColor="text1"/>
          <w:sz w:val="22"/>
          <w:szCs w:val="22"/>
        </w:rPr>
        <w:t>Lundi 16 novembre 2026</w:t>
      </w:r>
    </w:p>
    <w:p w14:paraId="1978E8E7" w14:textId="77777777" w:rsidR="00F323B3" w:rsidRPr="00AB5BC3" w:rsidRDefault="00B01643" w:rsidP="00AB5BC3">
      <w:pPr>
        <w:spacing w:after="0"/>
        <w:jc w:val="cente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Centre des colloques, auditorium 150 - Campus Condorcet</w:t>
      </w:r>
    </w:p>
    <w:p w14:paraId="4E8B9DBD" w14:textId="77777777" w:rsidR="00F323B3" w:rsidRDefault="00B01643" w:rsidP="00AB5BC3">
      <w:pPr>
        <w:spacing w:after="0"/>
        <w:jc w:val="cente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Place du Front Populaire, 93300 Aubervilliers</w:t>
      </w:r>
    </w:p>
    <w:p w14:paraId="5D2F41DC" w14:textId="77777777" w:rsidR="00AB5BC3" w:rsidRDefault="00AB5BC3">
      <w:pPr>
        <w:spacing w:after="0"/>
        <w:jc w:val="center"/>
        <w:rPr>
          <w:rFonts w:ascii="Atkinson Hyperlegible" w:eastAsia="Arial" w:hAnsi="Atkinson Hyperlegible" w:cs="Arial"/>
          <w:color w:val="000000"/>
          <w:sz w:val="24"/>
          <w:szCs w:val="24"/>
        </w:rPr>
      </w:pPr>
    </w:p>
    <w:p w14:paraId="78FE8BD4" w14:textId="77777777" w:rsidR="00AB5BC3" w:rsidRPr="00AB5BC3" w:rsidRDefault="00AB5BC3" w:rsidP="00AB5BC3">
      <w:pPr>
        <w:rPr>
          <w:rFonts w:ascii="Atkinson Hyperlegible" w:eastAsia="Arial" w:hAnsi="Atkinson Hyperlegible" w:cs="Arial"/>
          <w:color w:val="2F5496"/>
          <w:sz w:val="28"/>
          <w:szCs w:val="28"/>
        </w:rPr>
      </w:pPr>
      <w:r w:rsidRPr="00AB5BC3">
        <w:rPr>
          <w:rFonts w:ascii="Atkinson Hyperlegible" w:eastAsia="Arial" w:hAnsi="Atkinson Hyperlegible" w:cs="Arial"/>
          <w:color w:val="2F5496"/>
          <w:sz w:val="28"/>
          <w:szCs w:val="28"/>
        </w:rPr>
        <w:t>Table des matières</w:t>
      </w:r>
    </w:p>
    <w:p w14:paraId="0D7411C9" w14:textId="0E16A53A" w:rsidR="008F1F68" w:rsidRDefault="00AB5BC3">
      <w:pPr>
        <w:pStyle w:val="TM1"/>
        <w:tabs>
          <w:tab w:val="right" w:leader="dot" w:pos="9488"/>
        </w:tabs>
        <w:rPr>
          <w:rFonts w:asciiTheme="minorHAnsi" w:eastAsiaTheme="minorEastAsia" w:hAnsiTheme="minorHAnsi" w:cstheme="minorBidi"/>
          <w:noProof/>
          <w:kern w:val="2"/>
          <w:sz w:val="24"/>
          <w:szCs w:val="24"/>
          <w14:ligatures w14:val="standardContextual"/>
        </w:rPr>
      </w:pPr>
      <w:r>
        <w:rPr>
          <w:rFonts w:ascii="Atkinson Hyperlegible" w:hAnsi="Atkinson Hyperlegible"/>
        </w:rPr>
        <w:fldChar w:fldCharType="begin"/>
      </w:r>
      <w:r>
        <w:rPr>
          <w:rFonts w:ascii="Atkinson Hyperlegible" w:hAnsi="Atkinson Hyperlegible"/>
        </w:rPr>
        <w:instrText xml:space="preserve"> TOC \o "1-1" \h \z \u </w:instrText>
      </w:r>
      <w:r>
        <w:rPr>
          <w:rFonts w:ascii="Atkinson Hyperlegible" w:hAnsi="Atkinson Hyperlegible"/>
        </w:rPr>
        <w:fldChar w:fldCharType="separate"/>
      </w:r>
      <w:hyperlink w:anchor="_Toc224647857" w:history="1">
        <w:r w:rsidR="008F1F68" w:rsidRPr="00A57CB2">
          <w:rPr>
            <w:rStyle w:val="Lienhypertexte"/>
            <w:rFonts w:ascii="Atkinson Hyperlegible" w:hAnsi="Atkinson Hyperlegible"/>
            <w:noProof/>
          </w:rPr>
          <w:t>Argumentaire</w:t>
        </w:r>
        <w:r w:rsidR="008F1F68">
          <w:rPr>
            <w:noProof/>
            <w:webHidden/>
          </w:rPr>
          <w:tab/>
        </w:r>
        <w:r w:rsidR="008F1F68">
          <w:rPr>
            <w:noProof/>
            <w:webHidden/>
          </w:rPr>
          <w:fldChar w:fldCharType="begin"/>
        </w:r>
        <w:r w:rsidR="008F1F68">
          <w:rPr>
            <w:noProof/>
            <w:webHidden/>
          </w:rPr>
          <w:instrText xml:space="preserve"> PAGEREF _Toc224647857 \h </w:instrText>
        </w:r>
        <w:r w:rsidR="008F1F68">
          <w:rPr>
            <w:noProof/>
            <w:webHidden/>
          </w:rPr>
        </w:r>
        <w:r w:rsidR="008F1F68">
          <w:rPr>
            <w:noProof/>
            <w:webHidden/>
          </w:rPr>
          <w:fldChar w:fldCharType="separate"/>
        </w:r>
        <w:r w:rsidR="008F1F68">
          <w:rPr>
            <w:noProof/>
            <w:webHidden/>
          </w:rPr>
          <w:t>1</w:t>
        </w:r>
        <w:r w:rsidR="008F1F68">
          <w:rPr>
            <w:noProof/>
            <w:webHidden/>
          </w:rPr>
          <w:fldChar w:fldCharType="end"/>
        </w:r>
      </w:hyperlink>
    </w:p>
    <w:p w14:paraId="38DAFB13" w14:textId="028E1F91" w:rsidR="008F1F68" w:rsidRDefault="00366738">
      <w:pPr>
        <w:pStyle w:val="TM1"/>
        <w:tabs>
          <w:tab w:val="right" w:leader="dot" w:pos="9488"/>
        </w:tabs>
        <w:rPr>
          <w:rFonts w:asciiTheme="minorHAnsi" w:eastAsiaTheme="minorEastAsia" w:hAnsiTheme="minorHAnsi" w:cstheme="minorBidi"/>
          <w:noProof/>
          <w:kern w:val="2"/>
          <w:sz w:val="24"/>
          <w:szCs w:val="24"/>
          <w14:ligatures w14:val="standardContextual"/>
        </w:rPr>
      </w:pPr>
      <w:hyperlink w:anchor="_Toc224647858" w:history="1">
        <w:r w:rsidR="008F1F68" w:rsidRPr="00A57CB2">
          <w:rPr>
            <w:rStyle w:val="Lienhypertexte"/>
            <w:rFonts w:ascii="Atkinson Hyperlegible" w:hAnsi="Atkinson Hyperlegible"/>
            <w:noProof/>
          </w:rPr>
          <w:t>Modalités de soumission</w:t>
        </w:r>
        <w:r w:rsidR="008F1F68">
          <w:rPr>
            <w:noProof/>
            <w:webHidden/>
          </w:rPr>
          <w:tab/>
        </w:r>
        <w:r w:rsidR="008F1F68">
          <w:rPr>
            <w:noProof/>
            <w:webHidden/>
          </w:rPr>
          <w:fldChar w:fldCharType="begin"/>
        </w:r>
        <w:r w:rsidR="008F1F68">
          <w:rPr>
            <w:noProof/>
            <w:webHidden/>
          </w:rPr>
          <w:instrText xml:space="preserve"> PAGEREF _Toc224647858 \h </w:instrText>
        </w:r>
        <w:r w:rsidR="008F1F68">
          <w:rPr>
            <w:noProof/>
            <w:webHidden/>
          </w:rPr>
        </w:r>
        <w:r w:rsidR="008F1F68">
          <w:rPr>
            <w:noProof/>
            <w:webHidden/>
          </w:rPr>
          <w:fldChar w:fldCharType="separate"/>
        </w:r>
        <w:r w:rsidR="008F1F68">
          <w:rPr>
            <w:noProof/>
            <w:webHidden/>
          </w:rPr>
          <w:t>7</w:t>
        </w:r>
        <w:r w:rsidR="008F1F68">
          <w:rPr>
            <w:noProof/>
            <w:webHidden/>
          </w:rPr>
          <w:fldChar w:fldCharType="end"/>
        </w:r>
      </w:hyperlink>
    </w:p>
    <w:p w14:paraId="43DEE470" w14:textId="249B1D3D" w:rsidR="008F1F68" w:rsidRDefault="00366738">
      <w:pPr>
        <w:pStyle w:val="TM1"/>
        <w:tabs>
          <w:tab w:val="right" w:leader="dot" w:pos="9488"/>
        </w:tabs>
        <w:rPr>
          <w:rFonts w:asciiTheme="minorHAnsi" w:eastAsiaTheme="minorEastAsia" w:hAnsiTheme="minorHAnsi" w:cstheme="minorBidi"/>
          <w:noProof/>
          <w:kern w:val="2"/>
          <w:sz w:val="24"/>
          <w:szCs w:val="24"/>
          <w14:ligatures w14:val="standardContextual"/>
        </w:rPr>
      </w:pPr>
      <w:hyperlink w:anchor="_Toc224647859" w:history="1">
        <w:r w:rsidR="008F1F68" w:rsidRPr="00A57CB2">
          <w:rPr>
            <w:rStyle w:val="Lienhypertexte"/>
            <w:rFonts w:ascii="Atkinson Hyperlegible" w:hAnsi="Atkinson Hyperlegible"/>
            <w:noProof/>
          </w:rPr>
          <w:t>Comité d’organisation</w:t>
        </w:r>
        <w:r w:rsidR="008F1F68">
          <w:rPr>
            <w:noProof/>
            <w:webHidden/>
          </w:rPr>
          <w:tab/>
        </w:r>
        <w:r w:rsidR="008F1F68">
          <w:rPr>
            <w:noProof/>
            <w:webHidden/>
          </w:rPr>
          <w:fldChar w:fldCharType="begin"/>
        </w:r>
        <w:r w:rsidR="008F1F68">
          <w:rPr>
            <w:noProof/>
            <w:webHidden/>
          </w:rPr>
          <w:instrText xml:space="preserve"> PAGEREF _Toc224647859 \h </w:instrText>
        </w:r>
        <w:r w:rsidR="008F1F68">
          <w:rPr>
            <w:noProof/>
            <w:webHidden/>
          </w:rPr>
        </w:r>
        <w:r w:rsidR="008F1F68">
          <w:rPr>
            <w:noProof/>
            <w:webHidden/>
          </w:rPr>
          <w:fldChar w:fldCharType="separate"/>
        </w:r>
        <w:r w:rsidR="008F1F68">
          <w:rPr>
            <w:noProof/>
            <w:webHidden/>
          </w:rPr>
          <w:t>7</w:t>
        </w:r>
        <w:r w:rsidR="008F1F68">
          <w:rPr>
            <w:noProof/>
            <w:webHidden/>
          </w:rPr>
          <w:fldChar w:fldCharType="end"/>
        </w:r>
      </w:hyperlink>
    </w:p>
    <w:p w14:paraId="58EE830A" w14:textId="1705A9CF" w:rsidR="008F1F68" w:rsidRDefault="00366738">
      <w:pPr>
        <w:pStyle w:val="TM1"/>
        <w:tabs>
          <w:tab w:val="right" w:leader="dot" w:pos="9488"/>
        </w:tabs>
        <w:rPr>
          <w:rFonts w:asciiTheme="minorHAnsi" w:eastAsiaTheme="minorEastAsia" w:hAnsiTheme="minorHAnsi" w:cstheme="minorBidi"/>
          <w:noProof/>
          <w:kern w:val="2"/>
          <w:sz w:val="24"/>
          <w:szCs w:val="24"/>
          <w14:ligatures w14:val="standardContextual"/>
        </w:rPr>
      </w:pPr>
      <w:hyperlink w:anchor="_Toc224647860" w:history="1">
        <w:r w:rsidR="008F1F68" w:rsidRPr="00A57CB2">
          <w:rPr>
            <w:rStyle w:val="Lienhypertexte"/>
            <w:rFonts w:ascii="Atkinson Hyperlegible" w:hAnsi="Atkinson Hyperlegible"/>
            <w:noProof/>
          </w:rPr>
          <w:t>Références bibliographiques</w:t>
        </w:r>
        <w:r w:rsidR="008F1F68">
          <w:rPr>
            <w:noProof/>
            <w:webHidden/>
          </w:rPr>
          <w:tab/>
        </w:r>
        <w:r w:rsidR="008F1F68">
          <w:rPr>
            <w:noProof/>
            <w:webHidden/>
          </w:rPr>
          <w:fldChar w:fldCharType="begin"/>
        </w:r>
        <w:r w:rsidR="008F1F68">
          <w:rPr>
            <w:noProof/>
            <w:webHidden/>
          </w:rPr>
          <w:instrText xml:space="preserve"> PAGEREF _Toc224647860 \h </w:instrText>
        </w:r>
        <w:r w:rsidR="008F1F68">
          <w:rPr>
            <w:noProof/>
            <w:webHidden/>
          </w:rPr>
        </w:r>
        <w:r w:rsidR="008F1F68">
          <w:rPr>
            <w:noProof/>
            <w:webHidden/>
          </w:rPr>
          <w:fldChar w:fldCharType="separate"/>
        </w:r>
        <w:r w:rsidR="008F1F68">
          <w:rPr>
            <w:noProof/>
            <w:webHidden/>
          </w:rPr>
          <w:t>7</w:t>
        </w:r>
        <w:r w:rsidR="008F1F68">
          <w:rPr>
            <w:noProof/>
            <w:webHidden/>
          </w:rPr>
          <w:fldChar w:fldCharType="end"/>
        </w:r>
      </w:hyperlink>
    </w:p>
    <w:p w14:paraId="5125F51E" w14:textId="525267B4" w:rsidR="008F1F68" w:rsidRDefault="00366738">
      <w:pPr>
        <w:pStyle w:val="TM1"/>
        <w:tabs>
          <w:tab w:val="right" w:leader="dot" w:pos="9488"/>
        </w:tabs>
        <w:rPr>
          <w:rFonts w:asciiTheme="minorHAnsi" w:eastAsiaTheme="minorEastAsia" w:hAnsiTheme="minorHAnsi" w:cstheme="minorBidi"/>
          <w:noProof/>
          <w:kern w:val="2"/>
          <w:sz w:val="24"/>
          <w:szCs w:val="24"/>
          <w14:ligatures w14:val="standardContextual"/>
        </w:rPr>
      </w:pPr>
      <w:hyperlink w:anchor="_Toc224647861" w:history="1">
        <w:r w:rsidR="008F1F68" w:rsidRPr="00A57CB2">
          <w:rPr>
            <w:rStyle w:val="Lienhypertexte"/>
            <w:rFonts w:ascii="Atkinson Hyperlegible" w:hAnsi="Atkinson Hyperlegible"/>
            <w:noProof/>
          </w:rPr>
          <w:t>Partenaires</w:t>
        </w:r>
        <w:r w:rsidR="008F1F68">
          <w:rPr>
            <w:noProof/>
            <w:webHidden/>
          </w:rPr>
          <w:tab/>
        </w:r>
        <w:r w:rsidR="008F1F68">
          <w:rPr>
            <w:noProof/>
            <w:webHidden/>
          </w:rPr>
          <w:fldChar w:fldCharType="begin"/>
        </w:r>
        <w:r w:rsidR="008F1F68">
          <w:rPr>
            <w:noProof/>
            <w:webHidden/>
          </w:rPr>
          <w:instrText xml:space="preserve"> PAGEREF _Toc224647861 \h </w:instrText>
        </w:r>
        <w:r w:rsidR="008F1F68">
          <w:rPr>
            <w:noProof/>
            <w:webHidden/>
          </w:rPr>
        </w:r>
        <w:r w:rsidR="008F1F68">
          <w:rPr>
            <w:noProof/>
            <w:webHidden/>
          </w:rPr>
          <w:fldChar w:fldCharType="separate"/>
        </w:r>
        <w:r w:rsidR="008F1F68">
          <w:rPr>
            <w:noProof/>
            <w:webHidden/>
          </w:rPr>
          <w:t>8</w:t>
        </w:r>
        <w:r w:rsidR="008F1F68">
          <w:rPr>
            <w:noProof/>
            <w:webHidden/>
          </w:rPr>
          <w:fldChar w:fldCharType="end"/>
        </w:r>
      </w:hyperlink>
    </w:p>
    <w:p w14:paraId="3EAE33F5" w14:textId="38395B9D" w:rsidR="00F323B3" w:rsidRPr="00AB5BC3" w:rsidRDefault="00AB5BC3">
      <w:pPr>
        <w:pStyle w:val="Titre1"/>
        <w:rPr>
          <w:rFonts w:ascii="Atkinson Hyperlegible" w:hAnsi="Atkinson Hyperlegible"/>
        </w:rPr>
      </w:pPr>
      <w:r>
        <w:rPr>
          <w:rFonts w:ascii="Atkinson Hyperlegible" w:hAnsi="Atkinson Hyperlegible"/>
        </w:rPr>
        <w:fldChar w:fldCharType="end"/>
      </w:r>
      <w:bookmarkStart w:id="0" w:name="_Toc224647857"/>
      <w:r w:rsidRPr="00AB5BC3">
        <w:rPr>
          <w:rFonts w:ascii="Atkinson Hyperlegible" w:hAnsi="Atkinson Hyperlegible"/>
        </w:rPr>
        <w:t>Argumentaire</w:t>
      </w:r>
      <w:bookmarkEnd w:id="0"/>
    </w:p>
    <w:p w14:paraId="3C0C0C61" w14:textId="77777777" w:rsidR="00F323B3" w:rsidRPr="00AB5BC3" w:rsidRDefault="00B01643">
      <w:pPr>
        <w:spacing w:after="0"/>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Le recours des recherches en sciences sociales aux informations provenant de sources administratives n’est pas nouveau et prend plusieurs formes, que l’on songe à la contextualisation d’un phénomène en mobilisant des données statistiques ou des textes réglementaires ; ou au recours aux documents administratifs en tant qu’archives, pour enquêter sur des périodes et personnes auxquelles les </w:t>
      </w:r>
      <w:proofErr w:type="spellStart"/>
      <w:r w:rsidRPr="00AB5BC3">
        <w:rPr>
          <w:rFonts w:ascii="Atkinson Hyperlegible" w:eastAsia="Arial" w:hAnsi="Atkinson Hyperlegible" w:cs="Arial"/>
          <w:color w:val="000000"/>
          <w:sz w:val="24"/>
          <w:szCs w:val="24"/>
        </w:rPr>
        <w:t>chercheur·es</w:t>
      </w:r>
      <w:proofErr w:type="spellEnd"/>
      <w:r w:rsidRPr="00AB5BC3">
        <w:rPr>
          <w:rFonts w:ascii="Atkinson Hyperlegible" w:eastAsia="Arial" w:hAnsi="Atkinson Hyperlegible" w:cs="Arial"/>
          <w:color w:val="000000"/>
          <w:sz w:val="24"/>
          <w:szCs w:val="24"/>
        </w:rPr>
        <w:t xml:space="preserve"> n’ont pas directement accès. D’autres usages, relevant aussi bien de techniques quantitatives que qualitatives, prennent les dernières années de l’ampleur et méritent d’être interrogés, qu’il s’agisse de l’analyse secondaire des bases de données administratives ; de l’appariement de ces dernières aux données des enquêtes de recherche ; ou de l’utilisa</w:t>
      </w:r>
      <w:r w:rsidRPr="00AB5BC3">
        <w:rPr>
          <w:rFonts w:ascii="Atkinson Hyperlegible" w:eastAsia="Arial" w:hAnsi="Atkinson Hyperlegible" w:cs="Arial"/>
          <w:color w:val="000000"/>
          <w:sz w:val="24"/>
          <w:szCs w:val="24"/>
        </w:rPr>
        <w:lastRenderedPageBreak/>
        <w:t>tion des documents administratifs dans l’enquête ethnographique comme « outil d’analyse supplémentaire pour multiplier les points de vue sur [un] objet » (</w:t>
      </w:r>
      <w:proofErr w:type="spellStart"/>
      <w:r w:rsidRPr="00AB5BC3">
        <w:rPr>
          <w:rFonts w:ascii="Atkinson Hyperlegible" w:eastAsia="Arial" w:hAnsi="Atkinson Hyperlegible" w:cs="Arial"/>
          <w:color w:val="000000"/>
          <w:sz w:val="24"/>
          <w:szCs w:val="24"/>
        </w:rPr>
        <w:t>Béliard</w:t>
      </w:r>
      <w:proofErr w:type="spellEnd"/>
      <w:r w:rsidRPr="00AB5BC3">
        <w:rPr>
          <w:rFonts w:ascii="Atkinson Hyperlegible" w:eastAsia="Arial" w:hAnsi="Atkinson Hyperlegible" w:cs="Arial"/>
          <w:color w:val="000000"/>
          <w:sz w:val="24"/>
          <w:szCs w:val="24"/>
        </w:rPr>
        <w:t xml:space="preserve"> et </w:t>
      </w:r>
      <w:proofErr w:type="spellStart"/>
      <w:r w:rsidRPr="00AB5BC3">
        <w:rPr>
          <w:rFonts w:ascii="Atkinson Hyperlegible" w:eastAsia="Arial" w:hAnsi="Atkinson Hyperlegible" w:cs="Arial"/>
          <w:color w:val="000000"/>
          <w:sz w:val="24"/>
          <w:szCs w:val="24"/>
        </w:rPr>
        <w:t>Biland</w:t>
      </w:r>
      <w:proofErr w:type="spellEnd"/>
      <w:r w:rsidRPr="00AB5BC3">
        <w:rPr>
          <w:rFonts w:ascii="Atkinson Hyperlegible" w:eastAsia="Arial" w:hAnsi="Atkinson Hyperlegible" w:cs="Arial"/>
          <w:color w:val="000000"/>
          <w:sz w:val="24"/>
          <w:szCs w:val="24"/>
        </w:rPr>
        <w:t xml:space="preserve">, 2008). Si l’usage des documents administratifs comme source est bien analysé par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historien</w:t>
      </w:r>
      <w:proofErr w:type="gramEnd"/>
      <w:r w:rsidRPr="00AB5BC3">
        <w:rPr>
          <w:rFonts w:ascii="Atkinson Hyperlegible" w:eastAsia="Arial" w:hAnsi="Atkinson Hyperlegible" w:cs="Arial"/>
          <w:color w:val="000000"/>
          <w:sz w:val="24"/>
          <w:szCs w:val="24"/>
        </w:rPr>
        <w:t>·nes</w:t>
      </w:r>
      <w:proofErr w:type="spellEnd"/>
      <w:r w:rsidRPr="00AB5BC3">
        <w:rPr>
          <w:rFonts w:ascii="Atkinson Hyperlegible" w:eastAsia="Arial" w:hAnsi="Atkinson Hyperlegible" w:cs="Arial"/>
          <w:color w:val="000000"/>
          <w:sz w:val="24"/>
          <w:szCs w:val="24"/>
        </w:rPr>
        <w:t>, cette journée propose de réfléchir aux usages des données et documents administratifs « vivants » dans les enquêtes en sciences sociales pour mieux cerner les enjeux, avantages, biais et contraintes induits par leur usage.</w:t>
      </w:r>
    </w:p>
    <w:p w14:paraId="3543BEEE" w14:textId="77777777" w:rsidR="00F323B3" w:rsidRPr="00AB5BC3" w:rsidRDefault="00F323B3">
      <w:pPr>
        <w:spacing w:after="0"/>
        <w:rPr>
          <w:rFonts w:ascii="Atkinson Hyperlegible" w:eastAsia="Arial" w:hAnsi="Atkinson Hyperlegible" w:cs="Arial"/>
          <w:color w:val="000000"/>
          <w:sz w:val="24"/>
          <w:szCs w:val="24"/>
        </w:rPr>
      </w:pPr>
    </w:p>
    <w:p w14:paraId="03007433" w14:textId="77777777" w:rsidR="00F323B3" w:rsidRPr="00AB5BC3" w:rsidRDefault="00B01643">
      <w:pPr>
        <w:spacing w:after="0"/>
        <w:rPr>
          <w:rFonts w:ascii="Atkinson Hyperlegible" w:hAnsi="Atkinson Hyperlegible"/>
        </w:rPr>
      </w:pPr>
      <w:r w:rsidRPr="00AB5BC3">
        <w:rPr>
          <w:rFonts w:ascii="Atkinson Hyperlegible" w:eastAsia="Arial" w:hAnsi="Atkinson Hyperlegible" w:cs="Arial"/>
          <w:color w:val="000000"/>
          <w:sz w:val="24"/>
          <w:szCs w:val="24"/>
        </w:rPr>
        <w:t>De quoi parle-t-on quand on évoque les données et documents administratifs ? Dans cet appel, les sources administratives désignent à la fois les enquêtes par questionnaire produites par la statistique publique pour « décrire la société » (</w:t>
      </w:r>
      <w:proofErr w:type="spellStart"/>
      <w:r w:rsidRPr="00AB5BC3">
        <w:rPr>
          <w:rFonts w:ascii="Atkinson Hyperlegible" w:eastAsia="Arial" w:hAnsi="Atkinson Hyperlegible" w:cs="Arial"/>
          <w:color w:val="000000"/>
          <w:sz w:val="24"/>
          <w:szCs w:val="24"/>
        </w:rPr>
        <w:t>Desrosières</w:t>
      </w:r>
      <w:proofErr w:type="spellEnd"/>
      <w:r w:rsidRPr="00AB5BC3">
        <w:rPr>
          <w:rFonts w:ascii="Atkinson Hyperlegible" w:eastAsia="Arial" w:hAnsi="Atkinson Hyperlegible" w:cs="Arial"/>
          <w:color w:val="000000"/>
          <w:sz w:val="24"/>
          <w:szCs w:val="24"/>
        </w:rPr>
        <w:t xml:space="preserve">, 2005) comme l'Enquête annuelle de recensement, ou l'enquête Emploi, ainsi que les autres bases de données statistiques produites par des administrations et destinées informer les décideurs, les gestionnaires ou le public. Elles peuvent aussi désigner le produit des interactions entre les administrations et leur public : dossiers CAF, inscriptions à France Travail, demandes de titres de séjour, réponses à des formulaires en ligne, etc. D’autres sont produites par des </w:t>
      </w:r>
      <w:proofErr w:type="spellStart"/>
      <w:r w:rsidRPr="00AB5BC3">
        <w:rPr>
          <w:rFonts w:ascii="Atkinson Hyperlegible" w:eastAsia="Arial" w:hAnsi="Atkinson Hyperlegible" w:cs="Arial"/>
          <w:color w:val="000000"/>
          <w:sz w:val="24"/>
          <w:szCs w:val="24"/>
        </w:rPr>
        <w:t>professionnel·les</w:t>
      </w:r>
      <w:proofErr w:type="spellEnd"/>
      <w:r w:rsidRPr="00AB5BC3">
        <w:rPr>
          <w:rFonts w:ascii="Atkinson Hyperlegible" w:eastAsia="Arial" w:hAnsi="Atkinson Hyperlegible" w:cs="Arial"/>
          <w:color w:val="000000"/>
          <w:sz w:val="24"/>
          <w:szCs w:val="24"/>
        </w:rPr>
        <w:t xml:space="preserve"> des administrations qui documentent leurs activités soit pour informer les </w:t>
      </w:r>
      <w:proofErr w:type="spellStart"/>
      <w:r w:rsidRPr="00AB5BC3">
        <w:rPr>
          <w:rFonts w:ascii="Atkinson Hyperlegible" w:eastAsia="Arial" w:hAnsi="Atkinson Hyperlegible" w:cs="Arial"/>
          <w:color w:val="000000"/>
          <w:sz w:val="24"/>
          <w:szCs w:val="24"/>
        </w:rPr>
        <w:t>usager·es</w:t>
      </w:r>
      <w:proofErr w:type="spellEnd"/>
      <w:r w:rsidRPr="00AB5BC3">
        <w:rPr>
          <w:rFonts w:ascii="Atkinson Hyperlegible" w:eastAsia="Arial" w:hAnsi="Atkinson Hyperlegible" w:cs="Arial"/>
          <w:color w:val="000000"/>
          <w:sz w:val="24"/>
          <w:szCs w:val="24"/>
        </w:rPr>
        <w:t xml:space="preserve"> (dossiers scolaires, bulletins, etc.), soit pour les contrôler (rapports des inspecteurs de l’Éducation nationale, vérifications fiscales ou sociales, etc.), soit pour mieux organiser le suivi de leurs activités (dossiers de santé, etc.). Un certain nombre de ces données et documents administratifs peuvent être qualifiés de « vivants », c'est-à-dire qu’ils se définissent par leur caractère actuel, évolutif et opérationnel, étant encore activement utilisées ou produites par l'administration au moment où les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en sciences sociales s'en saisissent. À ce titre les conditions juridiques de l’accès à ces éléments ont été redéfinies : l’encadrement juridique entamé dans le XXe siècle — avec notamment la loi Informatique et libertés</w:t>
      </w:r>
      <w:r w:rsidRPr="00AB5BC3">
        <w:rPr>
          <w:rStyle w:val="Appelnotedebasdep"/>
          <w:rFonts w:ascii="Atkinson Hyperlegible" w:eastAsia="Arial" w:hAnsi="Atkinson Hyperlegible" w:cs="Arial"/>
          <w:color w:val="000000"/>
          <w:sz w:val="24"/>
          <w:szCs w:val="24"/>
        </w:rPr>
        <w:footnoteReference w:id="1"/>
      </w:r>
      <w:r w:rsidRPr="00AB5BC3">
        <w:rPr>
          <w:rFonts w:ascii="Atkinson Hyperlegible" w:eastAsia="Arial" w:hAnsi="Atkinson Hyperlegible" w:cs="Arial"/>
          <w:color w:val="000000"/>
          <w:sz w:val="24"/>
          <w:szCs w:val="24"/>
        </w:rPr>
        <w:t xml:space="preserve"> puis le Règlement général sur la protection des données (RGPD) en 2018 — s’est également accompagnée d’une politique d’ouverture des données publiques</w:t>
      </w:r>
      <w:r w:rsidRPr="00AB5BC3">
        <w:rPr>
          <w:rStyle w:val="Appelnotedebasdep"/>
          <w:rFonts w:ascii="Atkinson Hyperlegible" w:eastAsia="Arial" w:hAnsi="Atkinson Hyperlegible" w:cs="Arial"/>
          <w:color w:val="000000"/>
          <w:sz w:val="24"/>
          <w:szCs w:val="24"/>
        </w:rPr>
        <w:footnoteReference w:id="2"/>
      </w:r>
      <w:r w:rsidRPr="00AB5BC3">
        <w:rPr>
          <w:rFonts w:ascii="Atkinson Hyperlegible" w:eastAsia="Arial" w:hAnsi="Atkinson Hyperlegible" w:cs="Arial"/>
          <w:color w:val="000000"/>
          <w:sz w:val="24"/>
          <w:szCs w:val="24"/>
        </w:rPr>
        <w:t xml:space="preserve"> dans les années 2010, laquelle rend aussi nécessaire un travail d’ouverture de la part des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w:t>
      </w:r>
      <w:proofErr w:type="spellStart"/>
      <w:r w:rsidRPr="00AB5BC3">
        <w:rPr>
          <w:rFonts w:ascii="Atkinson Hyperlegible" w:eastAsia="Arial" w:hAnsi="Atkinson Hyperlegible" w:cs="Arial"/>
          <w:color w:val="000000"/>
          <w:sz w:val="24"/>
          <w:szCs w:val="24"/>
        </w:rPr>
        <w:t>Stérin</w:t>
      </w:r>
      <w:proofErr w:type="spellEnd"/>
      <w:r w:rsidRPr="00AB5BC3">
        <w:rPr>
          <w:rFonts w:ascii="Atkinson Hyperlegible" w:eastAsia="Arial" w:hAnsi="Atkinson Hyperlegible" w:cs="Arial"/>
          <w:color w:val="000000"/>
          <w:sz w:val="24"/>
          <w:szCs w:val="24"/>
        </w:rPr>
        <w:t xml:space="preserve"> et </w:t>
      </w:r>
      <w:proofErr w:type="spellStart"/>
      <w:r w:rsidRPr="00AB5BC3">
        <w:rPr>
          <w:rFonts w:ascii="Atkinson Hyperlegible" w:eastAsia="Arial" w:hAnsi="Atkinson Hyperlegible" w:cs="Arial"/>
          <w:color w:val="000000"/>
          <w:sz w:val="24"/>
          <w:szCs w:val="24"/>
        </w:rPr>
        <w:t>Noûs</w:t>
      </w:r>
      <w:proofErr w:type="spellEnd"/>
      <w:r w:rsidRPr="00AB5BC3">
        <w:rPr>
          <w:rFonts w:ascii="Atkinson Hyperlegible" w:eastAsia="Arial" w:hAnsi="Atkinson Hyperlegible" w:cs="Arial"/>
          <w:color w:val="000000"/>
          <w:sz w:val="24"/>
          <w:szCs w:val="24"/>
        </w:rPr>
        <w:t xml:space="preserve">, 2019). Cela a ainsi donné lieu à des réflexions spécifiques sur les mesures à prendre pour faciliter l’accès des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aux données administratives (</w:t>
      </w:r>
      <w:proofErr w:type="spellStart"/>
      <w:r w:rsidRPr="00AB5BC3">
        <w:rPr>
          <w:rFonts w:ascii="Atkinson Hyperlegible" w:eastAsia="Arial" w:hAnsi="Atkinson Hyperlegible" w:cs="Arial"/>
          <w:color w:val="000000"/>
          <w:sz w:val="24"/>
          <w:szCs w:val="24"/>
        </w:rPr>
        <w:t>Cnis</w:t>
      </w:r>
      <w:proofErr w:type="spellEnd"/>
      <w:r w:rsidRPr="00AB5BC3">
        <w:rPr>
          <w:rFonts w:ascii="Atkinson Hyperlegible" w:eastAsia="Arial" w:hAnsi="Atkinson Hyperlegible" w:cs="Arial"/>
          <w:color w:val="000000"/>
          <w:sz w:val="24"/>
          <w:szCs w:val="24"/>
        </w:rPr>
        <w:t xml:space="preserve">, 2017). </w:t>
      </w:r>
      <w:bookmarkStart w:id="1" w:name="_Hlk220532579"/>
      <w:r w:rsidRPr="00AB5BC3">
        <w:rPr>
          <w:rFonts w:ascii="Atkinson Hyperlegible" w:eastAsia="Arial" w:hAnsi="Atkinson Hyperlegible" w:cs="Arial"/>
          <w:color w:val="000000"/>
          <w:sz w:val="24"/>
          <w:szCs w:val="24"/>
        </w:rPr>
        <w:t xml:space="preserve">Cette nouvelle offre administrative est par ailleurs concomitante du « moment </w:t>
      </w:r>
      <w:r w:rsidRPr="00AB5BC3">
        <w:rPr>
          <w:rFonts w:ascii="Atkinson Hyperlegible" w:eastAsia="Arial" w:hAnsi="Atkinson Hyperlegible" w:cs="Arial"/>
          <w:i/>
          <w:iCs/>
          <w:color w:val="000000"/>
          <w:sz w:val="24"/>
          <w:szCs w:val="24"/>
        </w:rPr>
        <w:t>big data</w:t>
      </w:r>
      <w:r w:rsidRPr="00AB5BC3">
        <w:rPr>
          <w:rFonts w:ascii="Atkinson Hyperlegible" w:eastAsia="Arial" w:hAnsi="Atkinson Hyperlegible" w:cs="Arial"/>
          <w:color w:val="000000"/>
          <w:sz w:val="24"/>
          <w:szCs w:val="24"/>
        </w:rPr>
        <w:t xml:space="preserve"> des sciences sociales » (</w:t>
      </w:r>
      <w:proofErr w:type="spellStart"/>
      <w:r w:rsidRPr="00AB5BC3">
        <w:rPr>
          <w:rFonts w:ascii="Atkinson Hyperlegible" w:eastAsia="Arial" w:hAnsi="Atkinson Hyperlegible" w:cs="Arial"/>
          <w:color w:val="000000"/>
          <w:sz w:val="24"/>
          <w:szCs w:val="24"/>
        </w:rPr>
        <w:t>Bastin</w:t>
      </w:r>
      <w:proofErr w:type="spellEnd"/>
      <w:r w:rsidRPr="00AB5BC3">
        <w:rPr>
          <w:rFonts w:ascii="Atkinson Hyperlegible" w:eastAsia="Arial" w:hAnsi="Atkinson Hyperlegible" w:cs="Arial"/>
          <w:color w:val="000000"/>
          <w:sz w:val="24"/>
          <w:szCs w:val="24"/>
        </w:rPr>
        <w:t xml:space="preserve"> et </w:t>
      </w:r>
      <w:proofErr w:type="spellStart"/>
      <w:r w:rsidRPr="00AB5BC3">
        <w:rPr>
          <w:rFonts w:ascii="Atkinson Hyperlegible" w:eastAsia="Arial" w:hAnsi="Atkinson Hyperlegible" w:cs="Arial"/>
          <w:color w:val="000000"/>
          <w:sz w:val="24"/>
          <w:szCs w:val="24"/>
        </w:rPr>
        <w:t>Tubaro</w:t>
      </w:r>
      <w:proofErr w:type="spellEnd"/>
      <w:r w:rsidRPr="00AB5BC3">
        <w:rPr>
          <w:rFonts w:ascii="Atkinson Hyperlegible" w:eastAsia="Arial" w:hAnsi="Atkinson Hyperlegible" w:cs="Arial"/>
          <w:color w:val="000000"/>
          <w:sz w:val="24"/>
          <w:szCs w:val="24"/>
        </w:rPr>
        <w:t>, 2018), voyant apparaître de nouvelles technologies informatiques permettant la massification et l’exploitation des nouveaux types de données issues des administrations.</w:t>
      </w:r>
      <w:bookmarkEnd w:id="1"/>
    </w:p>
    <w:p w14:paraId="437683CC" w14:textId="77777777" w:rsidR="00F323B3" w:rsidRPr="00AB5BC3" w:rsidRDefault="00B01643">
      <w:pPr>
        <w:spacing w:after="0"/>
        <w:rPr>
          <w:rFonts w:ascii="Atkinson Hyperlegible" w:hAnsi="Atkinson Hyperlegible"/>
        </w:rPr>
      </w:pPr>
      <w:r w:rsidRPr="00AB5BC3">
        <w:rPr>
          <w:rFonts w:ascii="Atkinson Hyperlegible" w:eastAsia="Arial" w:hAnsi="Atkinson Hyperlegible" w:cs="Arial"/>
          <w:color w:val="000000"/>
          <w:sz w:val="24"/>
          <w:szCs w:val="24"/>
        </w:rPr>
        <w:t xml:space="preserve">Toutefois, l'essor et la diversification des documents et données administratifs ne vont pas sans soulever des interrogations quant à leur mobilisation dans des travaux de recherche, ce type de matériau (à l’exception majeure des enquêtes de la statistique publique) étant le plus souvent élaboré à des fins autres que la recherche. Si ces données et documents offrent de nouvelles </w:t>
      </w:r>
      <w:r w:rsidRPr="00AB5BC3">
        <w:rPr>
          <w:rFonts w:ascii="Atkinson Hyperlegible" w:eastAsia="Arial" w:hAnsi="Atkinson Hyperlegible" w:cs="Arial"/>
          <w:color w:val="000000"/>
          <w:sz w:val="24"/>
          <w:szCs w:val="24"/>
        </w:rPr>
        <w:lastRenderedPageBreak/>
        <w:t xml:space="preserve">pistes de recherche et une source de connaissance indéniable, leur périmètre, l’information contenue, leurs significations et leur forme ne sont pas toujours adaptés aux questionnements des chercheurs et chercheuses en sciences sociales. </w:t>
      </w:r>
    </w:p>
    <w:p w14:paraId="34AAF697" w14:textId="77777777" w:rsidR="00F323B3" w:rsidRPr="00AB5BC3" w:rsidRDefault="00B01643">
      <w:pPr>
        <w:spacing w:after="0"/>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Organisée par le Réseau thématique « Méthodes » (RT 20) de l’AFS, cette journée vise à confronter les approches méthodologiques dans l’usage des données et documents administratifs, s’intéressant aussi bien aux enquêtes quantitatives qu’aux enquêtes qualitatives. Elle fait appel à des travaux empiriques, rendant compte de la fabrique des sciences sociales, tout en invitant à la réflexivité sur ce que la recherche fait sur ces données et inversement. Pluridisciplinaire, elle s’adresse principalement aux chercheuses et chercheurs en sciences sociales, mais aussi aux </w:t>
      </w:r>
      <w:proofErr w:type="spellStart"/>
      <w:r w:rsidRPr="00AB5BC3">
        <w:rPr>
          <w:rFonts w:ascii="Atkinson Hyperlegible" w:eastAsia="Arial" w:hAnsi="Atkinson Hyperlegible" w:cs="Arial"/>
          <w:color w:val="000000"/>
          <w:sz w:val="24"/>
          <w:szCs w:val="24"/>
        </w:rPr>
        <w:t>statisticien·nes</w:t>
      </w:r>
      <w:proofErr w:type="spellEnd"/>
      <w:r w:rsidRPr="00AB5BC3">
        <w:rPr>
          <w:rFonts w:ascii="Atkinson Hyperlegible" w:eastAsia="Arial" w:hAnsi="Atkinson Hyperlegible" w:cs="Arial"/>
          <w:color w:val="000000"/>
          <w:sz w:val="24"/>
          <w:szCs w:val="24"/>
        </w:rPr>
        <w:t xml:space="preserve"> ou aux </w:t>
      </w:r>
      <w:proofErr w:type="spellStart"/>
      <w:r w:rsidRPr="00AB5BC3">
        <w:rPr>
          <w:rFonts w:ascii="Atkinson Hyperlegible" w:eastAsia="Arial" w:hAnsi="Atkinson Hyperlegible" w:cs="Arial"/>
          <w:color w:val="000000"/>
          <w:sz w:val="24"/>
          <w:szCs w:val="24"/>
        </w:rPr>
        <w:t>historien·nes</w:t>
      </w:r>
      <w:proofErr w:type="spellEnd"/>
      <w:r w:rsidRPr="00AB5BC3">
        <w:rPr>
          <w:rFonts w:ascii="Atkinson Hyperlegible" w:eastAsia="Arial" w:hAnsi="Atkinson Hyperlegible" w:cs="Arial"/>
          <w:color w:val="000000"/>
          <w:sz w:val="24"/>
          <w:szCs w:val="24"/>
        </w:rPr>
        <w:t xml:space="preserve"> travaillant sur l’histoire des données et documents administratifs et leurs relations avec la recherche.</w:t>
      </w:r>
    </w:p>
    <w:p w14:paraId="1DC2C24B" w14:textId="77777777" w:rsidR="00F323B3" w:rsidRPr="00AB5BC3" w:rsidRDefault="00B01643">
      <w:pP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Les propositions de communication pourraient ainsi combiner trois axes de réflexion :</w:t>
      </w:r>
    </w:p>
    <w:p w14:paraId="53A47D01" w14:textId="77777777" w:rsidR="00F323B3" w:rsidRPr="00AB5BC3" w:rsidRDefault="00B01643">
      <w:pPr>
        <w:pStyle w:val="Titre2"/>
        <w:keepNext/>
        <w:widowControl/>
        <w:rPr>
          <w:rFonts w:ascii="Atkinson Hyperlegible" w:hAnsi="Atkinson Hyperlegible"/>
        </w:rPr>
      </w:pPr>
      <w:r w:rsidRPr="00AB5BC3">
        <w:rPr>
          <w:rFonts w:ascii="Atkinson Hyperlegible" w:hAnsi="Atkinson Hyperlegible"/>
        </w:rPr>
        <w:t>Axe 1 : Se réapproprier un matériau parfois hétérogène et non structuré à des fins de recherche</w:t>
      </w:r>
    </w:p>
    <w:p w14:paraId="685C6D52" w14:textId="77777777" w:rsidR="00F323B3" w:rsidRPr="00AB5BC3" w:rsidRDefault="00B01643">
      <w:pPr>
        <w:keepNext/>
        <w:widowControl/>
        <w:rPr>
          <w:rFonts w:ascii="Atkinson Hyperlegible" w:hAnsi="Atkinson Hyperlegible"/>
        </w:rPr>
      </w:pPr>
      <w:r w:rsidRPr="00AB5BC3">
        <w:rPr>
          <w:rFonts w:ascii="Atkinson Hyperlegible" w:eastAsia="Arial" w:hAnsi="Atkinson Hyperlegible" w:cs="Arial"/>
          <w:color w:val="000000"/>
          <w:sz w:val="24"/>
          <w:szCs w:val="24"/>
        </w:rPr>
        <w:t xml:space="preserve">L’appropriation par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chercheur</w:t>
      </w:r>
      <w:proofErr w:type="gramEnd"/>
      <w:r w:rsidRPr="00AB5BC3">
        <w:rPr>
          <w:rFonts w:ascii="Atkinson Hyperlegible" w:eastAsia="Arial" w:hAnsi="Atkinson Hyperlegible" w:cs="Arial"/>
          <w:color w:val="000000"/>
          <w:sz w:val="24"/>
          <w:szCs w:val="24"/>
        </w:rPr>
        <w:t>·euses</w:t>
      </w:r>
      <w:proofErr w:type="spellEnd"/>
      <w:r w:rsidRPr="00AB5BC3">
        <w:rPr>
          <w:rFonts w:ascii="Atkinson Hyperlegible" w:eastAsia="Arial" w:hAnsi="Atkinson Hyperlegible" w:cs="Arial"/>
          <w:color w:val="000000"/>
          <w:sz w:val="24"/>
          <w:szCs w:val="24"/>
        </w:rPr>
        <w:t xml:space="preserve"> des données et documents administratifs soulève un ensemble de questions liées à la nature même de matériaux produits pour d’autres finalités que la recherche. Ces données sont </w:t>
      </w:r>
      <w:proofErr w:type="gramStart"/>
      <w:r w:rsidRPr="00AB5BC3">
        <w:rPr>
          <w:rFonts w:ascii="Atkinson Hyperlegible" w:eastAsia="Arial" w:hAnsi="Atkinson Hyperlegible" w:cs="Arial"/>
          <w:color w:val="000000"/>
          <w:sz w:val="24"/>
          <w:szCs w:val="24"/>
        </w:rPr>
        <w:t>d’une part générées</w:t>
      </w:r>
      <w:proofErr w:type="gramEnd"/>
      <w:r w:rsidRPr="00AB5BC3">
        <w:rPr>
          <w:rFonts w:ascii="Atkinson Hyperlegible" w:eastAsia="Arial" w:hAnsi="Atkinson Hyperlegible" w:cs="Arial"/>
          <w:color w:val="000000"/>
          <w:sz w:val="24"/>
          <w:szCs w:val="24"/>
        </w:rPr>
        <w:t xml:space="preserve"> par une pluralité d’administrations, et en leur sein, une pluralité d’acteurs et d’actrices. Pensées pour le suivi de populations, la gestion quotidienne, le contrôle, les études ou les justifications administratives, voire commerciales, ces données ne sont pas toujours compatibles avec les exigences des sciences sociales. Comment les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travaillent-ils et elles avec un tel matériau ? En outre, les « </w:t>
      </w:r>
      <w:proofErr w:type="spellStart"/>
      <w:r w:rsidRPr="00AB5BC3">
        <w:rPr>
          <w:rFonts w:ascii="Atkinson Hyperlegible" w:eastAsia="Arial" w:hAnsi="Atkinson Hyperlegible" w:cs="Arial"/>
          <w:color w:val="000000"/>
          <w:sz w:val="24"/>
          <w:szCs w:val="24"/>
        </w:rPr>
        <w:t>administré·es</w:t>
      </w:r>
      <w:proofErr w:type="spellEnd"/>
      <w:r w:rsidRPr="00AB5BC3">
        <w:rPr>
          <w:rFonts w:ascii="Atkinson Hyperlegible" w:eastAsia="Arial" w:hAnsi="Atkinson Hyperlegible" w:cs="Arial"/>
          <w:color w:val="000000"/>
          <w:sz w:val="24"/>
          <w:szCs w:val="24"/>
        </w:rPr>
        <w:t> » ne sont pas des réceptacles passifs, et peuvent modifier leur attitude ou réponses selon la représentation qu’ils et elles se font d’une administration et de leurs intérêts. Plus généralement, leurs réponses peuvent traduire des manières de penser qui diffèrent des catégories envisagées par les administrations (</w:t>
      </w:r>
      <w:proofErr w:type="spellStart"/>
      <w:r w:rsidRPr="00AB5BC3">
        <w:rPr>
          <w:rFonts w:ascii="Atkinson Hyperlegible" w:eastAsia="Arial" w:hAnsi="Atkinson Hyperlegible" w:cs="Arial"/>
          <w:color w:val="000000"/>
          <w:sz w:val="24"/>
          <w:szCs w:val="24"/>
        </w:rPr>
        <w:t>Bessière</w:t>
      </w:r>
      <w:proofErr w:type="spellEnd"/>
      <w:r w:rsidRPr="00AB5BC3">
        <w:rPr>
          <w:rFonts w:ascii="Atkinson Hyperlegible" w:eastAsia="Arial" w:hAnsi="Atkinson Hyperlegible" w:cs="Arial"/>
          <w:color w:val="000000"/>
          <w:sz w:val="24"/>
          <w:szCs w:val="24"/>
        </w:rPr>
        <w:t xml:space="preserve"> et Houseaux, 1997). Les données parviennent ainsi aux chercheurs et chercheuses dans un état qui reflète aussi bien les logiques institutionnelles ou organisationnelles sous-jacentes que les stratégies des </w:t>
      </w:r>
      <w:proofErr w:type="spellStart"/>
      <w:r w:rsidRPr="00AB5BC3">
        <w:rPr>
          <w:rFonts w:ascii="Atkinson Hyperlegible" w:eastAsia="Arial" w:hAnsi="Atkinson Hyperlegible" w:cs="Arial"/>
          <w:color w:val="000000"/>
          <w:sz w:val="24"/>
          <w:szCs w:val="24"/>
        </w:rPr>
        <w:t>administré·es</w:t>
      </w:r>
      <w:proofErr w:type="spellEnd"/>
      <w:r w:rsidRPr="00AB5BC3">
        <w:rPr>
          <w:rFonts w:ascii="Atkinson Hyperlegible" w:eastAsia="Arial" w:hAnsi="Atkinson Hyperlegible" w:cs="Arial"/>
          <w:color w:val="000000"/>
          <w:sz w:val="24"/>
          <w:szCs w:val="24"/>
        </w:rPr>
        <w:t xml:space="preserve">, et nécessitent un travail d’appropriation, plus ou moins élaboré, pour être analysées. Les communications pourront revenir sur les activités de traitement de ces données mises en place par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chercheur</w:t>
      </w:r>
      <w:proofErr w:type="gramEnd"/>
      <w:r w:rsidRPr="00AB5BC3">
        <w:rPr>
          <w:rFonts w:ascii="Atkinson Hyperlegible" w:eastAsia="Arial" w:hAnsi="Atkinson Hyperlegible" w:cs="Arial"/>
          <w:color w:val="000000"/>
          <w:sz w:val="24"/>
          <w:szCs w:val="24"/>
        </w:rPr>
        <w:t>·euses</w:t>
      </w:r>
      <w:proofErr w:type="spellEnd"/>
      <w:r w:rsidRPr="00AB5BC3">
        <w:rPr>
          <w:rFonts w:ascii="Atkinson Hyperlegible" w:eastAsia="Arial" w:hAnsi="Atkinson Hyperlegible" w:cs="Arial"/>
          <w:color w:val="000000"/>
          <w:sz w:val="24"/>
          <w:szCs w:val="24"/>
        </w:rPr>
        <w:t xml:space="preserve"> pour s’approprier les données.</w:t>
      </w:r>
    </w:p>
    <w:p w14:paraId="3CDADA73" w14:textId="77777777" w:rsidR="00F323B3" w:rsidRPr="00AB5BC3" w:rsidRDefault="00B01643">
      <w:pP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Face à ces matériaux hétérogènes, souvent volumineux, parfois lacunaires ou redondants, ou tout simplement conçus à partir d’autres préoccupations, questions et formes d’administration de la preuve, les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doivent déployer tout un ensemble de pratiques d’appropriation visant à transformer ces données en ressources analytiques compatibles avec leurs recherches. Qu’il s’agisse des résultats d’une enquête par questionnaire, d’un dossier individuel comportant plusieurs années de correspondances, d’une base de données issue de formulaires remplis par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administré</w:t>
      </w:r>
      <w:proofErr w:type="gramEnd"/>
      <w:r w:rsidRPr="00AB5BC3">
        <w:rPr>
          <w:rFonts w:ascii="Atkinson Hyperlegible" w:eastAsia="Arial" w:hAnsi="Atkinson Hyperlegible" w:cs="Arial"/>
          <w:color w:val="000000"/>
          <w:sz w:val="24"/>
          <w:szCs w:val="24"/>
        </w:rPr>
        <w:t>·es</w:t>
      </w:r>
      <w:proofErr w:type="spellEnd"/>
      <w:r w:rsidRPr="00AB5BC3">
        <w:rPr>
          <w:rFonts w:ascii="Atkinson Hyperlegible" w:eastAsia="Arial" w:hAnsi="Atkinson Hyperlegible" w:cs="Arial"/>
          <w:color w:val="000000"/>
          <w:sz w:val="24"/>
          <w:szCs w:val="24"/>
        </w:rPr>
        <w:t xml:space="preserve"> ou enrichie automatiquement par différents services, ou d’un fi</w:t>
      </w:r>
      <w:r w:rsidRPr="00AB5BC3">
        <w:rPr>
          <w:rFonts w:ascii="Atkinson Hyperlegible" w:eastAsia="Arial" w:hAnsi="Atkinson Hyperlegible" w:cs="Arial"/>
          <w:color w:val="000000"/>
          <w:sz w:val="24"/>
          <w:szCs w:val="24"/>
        </w:rPr>
        <w:lastRenderedPageBreak/>
        <w:t xml:space="preserve">chier d’usage générant des milliers d’événements numériques, les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doit déterminer ce qui mérite d’être retenu, reconstitué ou, au contraire, mis à distance. Dans cette perspective, les pratiques de sélection des données pertinentes, de recodage, de tri, de nettoyage, d’extraction ou d’annotation deviennent des opérations proprement scientifiques : elles participent de la construction des matériaux et orientent les résultats possibles. Les propositions de communication pourront éclairer les opérations concrètes par lesquels les </w:t>
      </w:r>
      <w:proofErr w:type="spellStart"/>
      <w:r w:rsidRPr="00AB5BC3">
        <w:rPr>
          <w:rFonts w:ascii="Atkinson Hyperlegible" w:eastAsia="Arial" w:hAnsi="Atkinson Hyperlegible" w:cs="Arial"/>
          <w:color w:val="000000"/>
          <w:sz w:val="24"/>
          <w:szCs w:val="24"/>
        </w:rPr>
        <w:t>chercheur·euses</w:t>
      </w:r>
      <w:proofErr w:type="spellEnd"/>
      <w:r w:rsidRPr="00AB5BC3">
        <w:rPr>
          <w:rFonts w:ascii="Atkinson Hyperlegible" w:eastAsia="Arial" w:hAnsi="Atkinson Hyperlegible" w:cs="Arial"/>
          <w:color w:val="000000"/>
          <w:sz w:val="24"/>
          <w:szCs w:val="24"/>
        </w:rPr>
        <w:t xml:space="preserve"> préparent, transforment et analysent ces matériaux, et mettre en évidence les effets de ces choix sur la construction du corpus et les analyses ensuite produites. Nous espérons ainsi, en analysant de manière critique ces usages, mieux saisir les objectifs de ce recours aux sources administratives, leurs avantages mais aussi leurs particularités et leurs risques au regard des problématiques et des méthodes de recherche qu’elles impliquent.</w:t>
      </w:r>
    </w:p>
    <w:p w14:paraId="32FB4AB1" w14:textId="77777777" w:rsidR="00F323B3" w:rsidRPr="00AB5BC3" w:rsidRDefault="00B01643">
      <w:pPr>
        <w:rPr>
          <w:rFonts w:ascii="Atkinson Hyperlegible" w:eastAsia="Arial" w:hAnsi="Atkinson Hyperlegible" w:cs="Arial"/>
          <w:bCs/>
          <w:color w:val="000000"/>
          <w:sz w:val="24"/>
          <w:szCs w:val="24"/>
        </w:rPr>
      </w:pPr>
      <w:r w:rsidRPr="00AB5BC3">
        <w:rPr>
          <w:rFonts w:ascii="Atkinson Hyperlegible" w:eastAsia="Arial" w:hAnsi="Atkinson Hyperlegible" w:cs="Arial"/>
          <w:bCs/>
          <w:color w:val="000000"/>
          <w:sz w:val="24"/>
          <w:szCs w:val="24"/>
        </w:rPr>
        <w:t xml:space="preserve">Cette journée sera ainsi l’occasion de mettre la focale sur les institutions productrices de données, pour tenir compte des multiples cadres de production, des objectifs, des dispositifs de collecte et de conservation des données. Quels rapports les producteurs entretiennent aux données et avec les chercheurs et les chercheuses ? Qu’est-ce que les conditions de production des données font aux méthodes et aux résultats de recherche ? Si la journée se concentre majoritairement sur les productions administratives du secteur public, des communications sur d’autres environnements organisationnels, comme les entreprises ou les associations, seront les bienvenues. Notre appel s’adresse également aux travaux de recherche en la matière dans d’autres pays. Ceci permettrait en outre de mettre en perspective les expériences françaises au regard des processus de normalisation internationaux qu’il s’agisse de nouveaux types de données comme les </w:t>
      </w:r>
      <w:r w:rsidRPr="00AB5BC3">
        <w:rPr>
          <w:rFonts w:ascii="Atkinson Hyperlegible" w:eastAsia="Arial" w:hAnsi="Atkinson Hyperlegible" w:cs="Arial"/>
          <w:bCs/>
          <w:i/>
          <w:iCs/>
          <w:color w:val="000000"/>
          <w:sz w:val="24"/>
          <w:szCs w:val="24"/>
        </w:rPr>
        <w:t>big data</w:t>
      </w:r>
      <w:r w:rsidRPr="00AB5BC3">
        <w:rPr>
          <w:rFonts w:ascii="Atkinson Hyperlegible" w:eastAsia="Arial" w:hAnsi="Atkinson Hyperlegible" w:cs="Arial"/>
          <w:bCs/>
          <w:color w:val="000000"/>
          <w:sz w:val="24"/>
          <w:szCs w:val="24"/>
        </w:rPr>
        <w:t xml:space="preserve"> (</w:t>
      </w:r>
      <w:proofErr w:type="spellStart"/>
      <w:r w:rsidRPr="00AB5BC3">
        <w:rPr>
          <w:rFonts w:ascii="Atkinson Hyperlegible" w:eastAsia="Arial" w:hAnsi="Atkinson Hyperlegible" w:cs="Arial"/>
          <w:bCs/>
          <w:color w:val="000000"/>
          <w:sz w:val="24"/>
          <w:szCs w:val="24"/>
        </w:rPr>
        <w:t>Bastin</w:t>
      </w:r>
      <w:proofErr w:type="spellEnd"/>
      <w:r w:rsidRPr="00AB5BC3">
        <w:rPr>
          <w:rFonts w:ascii="Atkinson Hyperlegible" w:eastAsia="Arial" w:hAnsi="Atkinson Hyperlegible" w:cs="Arial"/>
          <w:bCs/>
          <w:color w:val="000000"/>
          <w:sz w:val="24"/>
          <w:szCs w:val="24"/>
        </w:rPr>
        <w:t xml:space="preserve"> et </w:t>
      </w:r>
      <w:proofErr w:type="spellStart"/>
      <w:r w:rsidRPr="00AB5BC3">
        <w:rPr>
          <w:rFonts w:ascii="Atkinson Hyperlegible" w:eastAsia="Arial" w:hAnsi="Atkinson Hyperlegible" w:cs="Arial"/>
          <w:bCs/>
          <w:color w:val="000000"/>
          <w:sz w:val="24"/>
          <w:szCs w:val="24"/>
        </w:rPr>
        <w:t>Tubaro</w:t>
      </w:r>
      <w:proofErr w:type="spellEnd"/>
      <w:r w:rsidRPr="00AB5BC3">
        <w:rPr>
          <w:rFonts w:ascii="Atkinson Hyperlegible" w:eastAsia="Arial" w:hAnsi="Atkinson Hyperlegible" w:cs="Arial"/>
          <w:bCs/>
          <w:color w:val="000000"/>
          <w:sz w:val="24"/>
          <w:szCs w:val="24"/>
        </w:rPr>
        <w:t>, 2018), de mesures juridiques comme la RGPD ou de processus de standardisation (Institut de statistique de l’Unesco, 2024).</w:t>
      </w:r>
    </w:p>
    <w:p w14:paraId="6D6D24C4" w14:textId="77777777" w:rsidR="00F323B3" w:rsidRPr="00AB5BC3" w:rsidRDefault="00B01643">
      <w:pPr>
        <w:pStyle w:val="Titre2"/>
        <w:rPr>
          <w:rFonts w:ascii="Atkinson Hyperlegible" w:hAnsi="Atkinson Hyperlegible"/>
        </w:rPr>
      </w:pPr>
      <w:r w:rsidRPr="00AB5BC3">
        <w:rPr>
          <w:rFonts w:ascii="Atkinson Hyperlegible" w:hAnsi="Atkinson Hyperlegible"/>
        </w:rPr>
        <w:t>Axe 2 : Ce que les données et documents administratifs disent du travail des administrations</w:t>
      </w:r>
    </w:p>
    <w:p w14:paraId="0F286373" w14:textId="77777777" w:rsidR="00F323B3" w:rsidRPr="00AB5BC3" w:rsidRDefault="00B01643">
      <w:pPr>
        <w:rPr>
          <w:rFonts w:ascii="Atkinson Hyperlegible" w:hAnsi="Atkinson Hyperlegible"/>
        </w:rPr>
      </w:pPr>
      <w:r w:rsidRPr="00AB5BC3">
        <w:rPr>
          <w:rFonts w:ascii="Atkinson Hyperlegible" w:eastAsia="Arial" w:hAnsi="Atkinson Hyperlegible" w:cs="Arial"/>
          <w:color w:val="000000"/>
          <w:sz w:val="24"/>
          <w:szCs w:val="24"/>
        </w:rPr>
        <w:t>Si la façon dont les données ont été construites vient avec son lot d’inconvénients pour les recherches en sciences sociales, cela peut donner à voir la façon dont l’administration conçoit son travail et les individus qu’elle administre. Tout d’abord, les communications pourront se pencher sur les situations de travail et les motivations qui animent les personnes en charge de la production des données administratives. Les conditions de leur production ont un effet sur la qualité des données (Becker, 2020) comme le donnent à voir les travaux sur les employées au guichet des services publics dans les quartiers populaires (</w:t>
      </w:r>
      <w:proofErr w:type="spellStart"/>
      <w:r w:rsidRPr="00AB5BC3">
        <w:rPr>
          <w:rFonts w:ascii="Atkinson Hyperlegible" w:eastAsia="Arial" w:hAnsi="Atkinson Hyperlegible" w:cs="Arial"/>
          <w:color w:val="000000"/>
          <w:sz w:val="24"/>
          <w:szCs w:val="24"/>
        </w:rPr>
        <w:t>Siblot</w:t>
      </w:r>
      <w:proofErr w:type="spellEnd"/>
      <w:r w:rsidRPr="00AB5BC3">
        <w:rPr>
          <w:rFonts w:ascii="Atkinson Hyperlegible" w:eastAsia="Arial" w:hAnsi="Atkinson Hyperlegible" w:cs="Arial"/>
          <w:color w:val="000000"/>
          <w:sz w:val="24"/>
          <w:szCs w:val="24"/>
        </w:rPr>
        <w:t xml:space="preserve">, 2006). Les communications pourront explorer le lien entre les contraintes professionnelles des producteurs de données et la nature et le type d’information consignées. Par exemple, les </w:t>
      </w:r>
      <w:proofErr w:type="spellStart"/>
      <w:r w:rsidRPr="00AB5BC3">
        <w:rPr>
          <w:rFonts w:ascii="Atkinson Hyperlegible" w:eastAsia="Arial" w:hAnsi="Atkinson Hyperlegible" w:cs="Arial"/>
          <w:color w:val="000000"/>
          <w:sz w:val="24"/>
          <w:szCs w:val="24"/>
        </w:rPr>
        <w:t>greffier·es</w:t>
      </w:r>
      <w:proofErr w:type="spellEnd"/>
      <w:r w:rsidRPr="00AB5BC3">
        <w:rPr>
          <w:rFonts w:ascii="Atkinson Hyperlegible" w:eastAsia="Arial" w:hAnsi="Atkinson Hyperlegible" w:cs="Arial"/>
          <w:color w:val="000000"/>
          <w:sz w:val="24"/>
          <w:szCs w:val="24"/>
        </w:rPr>
        <w:t xml:space="preserve"> </w:t>
      </w:r>
      <w:proofErr w:type="spellStart"/>
      <w:r w:rsidRPr="00AB5BC3">
        <w:rPr>
          <w:rFonts w:ascii="Atkinson Hyperlegible" w:eastAsia="Arial" w:hAnsi="Atkinson Hyperlegible" w:cs="Arial"/>
          <w:color w:val="000000"/>
          <w:sz w:val="24"/>
          <w:szCs w:val="24"/>
        </w:rPr>
        <w:t>chargé·es</w:t>
      </w:r>
      <w:proofErr w:type="spellEnd"/>
      <w:r w:rsidRPr="00AB5BC3">
        <w:rPr>
          <w:rFonts w:ascii="Atkinson Hyperlegible" w:eastAsia="Arial" w:hAnsi="Atkinson Hyperlegible" w:cs="Arial"/>
          <w:color w:val="000000"/>
          <w:sz w:val="24"/>
          <w:szCs w:val="24"/>
        </w:rPr>
        <w:t xml:space="preserve"> de la collecte d’informations auprès des </w:t>
      </w:r>
      <w:proofErr w:type="spellStart"/>
      <w:r w:rsidRPr="00AB5BC3">
        <w:rPr>
          <w:rFonts w:ascii="Atkinson Hyperlegible" w:eastAsia="Arial" w:hAnsi="Atkinson Hyperlegible" w:cs="Arial"/>
          <w:color w:val="000000"/>
          <w:sz w:val="24"/>
          <w:szCs w:val="24"/>
        </w:rPr>
        <w:t>détenu·es</w:t>
      </w:r>
      <w:proofErr w:type="spellEnd"/>
      <w:r w:rsidRPr="00AB5BC3">
        <w:rPr>
          <w:rFonts w:ascii="Atkinson Hyperlegible" w:eastAsia="Arial" w:hAnsi="Atkinson Hyperlegible" w:cs="Arial"/>
          <w:color w:val="000000"/>
          <w:sz w:val="24"/>
          <w:szCs w:val="24"/>
        </w:rPr>
        <w:t xml:space="preserve"> pour l’élaboration des statistiques pénitentiaires font face à des contraintes temporelles importantes, doublées d’une absence de formation à la collecte de données (</w:t>
      </w:r>
      <w:proofErr w:type="spellStart"/>
      <w:r w:rsidRPr="00AB5BC3">
        <w:rPr>
          <w:rFonts w:ascii="Atkinson Hyperlegible" w:eastAsia="Arial" w:hAnsi="Atkinson Hyperlegible" w:cs="Arial"/>
          <w:color w:val="000000"/>
          <w:sz w:val="24"/>
          <w:szCs w:val="24"/>
        </w:rPr>
        <w:t>Henneguelle</w:t>
      </w:r>
      <w:proofErr w:type="spellEnd"/>
      <w:r w:rsidRPr="00AB5BC3">
        <w:rPr>
          <w:rFonts w:ascii="Atkinson Hyperlegible" w:eastAsia="Arial" w:hAnsi="Atkinson Hyperlegible" w:cs="Arial"/>
          <w:color w:val="000000"/>
          <w:sz w:val="24"/>
          <w:szCs w:val="24"/>
        </w:rPr>
        <w:t xml:space="preserve">, 2017 ; Denis et </w:t>
      </w:r>
      <w:proofErr w:type="spellStart"/>
      <w:r w:rsidRPr="00AB5BC3">
        <w:rPr>
          <w:rFonts w:ascii="Atkinson Hyperlegible" w:eastAsia="Arial" w:hAnsi="Atkinson Hyperlegible" w:cs="Arial"/>
          <w:color w:val="000000"/>
          <w:sz w:val="24"/>
          <w:szCs w:val="24"/>
        </w:rPr>
        <w:t>Goëta</w:t>
      </w:r>
      <w:proofErr w:type="spellEnd"/>
      <w:r w:rsidRPr="00AB5BC3">
        <w:rPr>
          <w:rFonts w:ascii="Atkinson Hyperlegible" w:eastAsia="Arial" w:hAnsi="Atkinson Hyperlegible" w:cs="Arial"/>
          <w:color w:val="000000"/>
          <w:sz w:val="24"/>
          <w:szCs w:val="24"/>
        </w:rPr>
        <w:t xml:space="preserve">, 2017). </w:t>
      </w:r>
    </w:p>
    <w:p w14:paraId="1B7BEA27" w14:textId="77777777" w:rsidR="00F323B3" w:rsidRPr="00AB5BC3" w:rsidRDefault="00B01643" w:rsidP="00AB5BC3">
      <w:pP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Parallèlement, il faut tenir compte des propriétés socioprofessionnelles des personnes qui produisent les données et de la division du travail entre elles. Quel est l’effet de la collecte, de la </w:t>
      </w:r>
      <w:r w:rsidRPr="00AB5BC3">
        <w:rPr>
          <w:rFonts w:ascii="Atkinson Hyperlegible" w:eastAsia="Arial" w:hAnsi="Atkinson Hyperlegible" w:cs="Arial"/>
          <w:color w:val="000000"/>
          <w:sz w:val="24"/>
          <w:szCs w:val="24"/>
        </w:rPr>
        <w:lastRenderedPageBreak/>
        <w:t xml:space="preserve">conception au codage, sur les données ? Les données et documents administratifs sont le fruit de multiples opérations de classement par les administrations elles-mêmes. L’étude des données et documents administratifs permet ainsi de mettre en évidence les formes de catégorisation à l’œuvre au sein des institutions, et qui participent de la soumission des individus à un ordre institutionnel et politique. C’est par exemple que qu’illustrent les documents produits par des conseillères en économie sociale et familiale, qui traduisent des normes comptables administratives en décalage avec les pratiques des familles pauvres qu’elles accompagnent (Perrin-Heredia, 2011). De même, l’analyse des catégories utilisées par l’Insee montre comment, lors du rapatriement depuis l’Algérie, l’État français a « continué de séparer les populations originaires d’Algérie selon un critère </w:t>
      </w:r>
      <w:proofErr w:type="spellStart"/>
      <w:r w:rsidRPr="00AB5BC3">
        <w:rPr>
          <w:rFonts w:ascii="Atkinson Hyperlegible" w:eastAsia="Arial" w:hAnsi="Atkinson Hyperlegible" w:cs="Arial"/>
          <w:color w:val="000000"/>
          <w:sz w:val="24"/>
          <w:szCs w:val="24"/>
        </w:rPr>
        <w:t>ethno-religieux</w:t>
      </w:r>
      <w:proofErr w:type="spellEnd"/>
      <w:r w:rsidRPr="00AB5BC3">
        <w:rPr>
          <w:rFonts w:ascii="Atkinson Hyperlegible" w:eastAsia="Arial" w:hAnsi="Atkinson Hyperlegible" w:cs="Arial"/>
          <w:color w:val="000000"/>
          <w:sz w:val="24"/>
          <w:szCs w:val="24"/>
        </w:rPr>
        <w:t xml:space="preserve"> alors que cette distinction n’avait plus d’existence légale » (</w:t>
      </w:r>
      <w:proofErr w:type="spellStart"/>
      <w:r w:rsidRPr="00AB5BC3">
        <w:rPr>
          <w:rFonts w:ascii="Atkinson Hyperlegible" w:eastAsia="Arial" w:hAnsi="Atkinson Hyperlegible" w:cs="Arial"/>
          <w:color w:val="000000"/>
          <w:sz w:val="24"/>
          <w:szCs w:val="24"/>
        </w:rPr>
        <w:t>Couto</w:t>
      </w:r>
      <w:proofErr w:type="spellEnd"/>
      <w:r w:rsidRPr="00AB5BC3">
        <w:rPr>
          <w:rFonts w:ascii="Atkinson Hyperlegible" w:eastAsia="Arial" w:hAnsi="Atkinson Hyperlegible" w:cs="Arial"/>
          <w:color w:val="000000"/>
          <w:sz w:val="24"/>
          <w:szCs w:val="24"/>
        </w:rPr>
        <w:t xml:space="preserve">, 2023). Les communications pourront ainsi porter sur ce travail de catégorisation des populations et sa confrontation avec les catégories des </w:t>
      </w:r>
      <w:proofErr w:type="spellStart"/>
      <w:r w:rsidRPr="00AB5BC3">
        <w:rPr>
          <w:rFonts w:ascii="Atkinson Hyperlegible" w:eastAsia="Arial" w:hAnsi="Atkinson Hyperlegible" w:cs="Arial"/>
          <w:color w:val="000000"/>
          <w:sz w:val="24"/>
          <w:szCs w:val="24"/>
        </w:rPr>
        <w:t>administré·es</w:t>
      </w:r>
      <w:proofErr w:type="spellEnd"/>
      <w:r w:rsidRPr="00AB5BC3">
        <w:rPr>
          <w:rFonts w:ascii="Atkinson Hyperlegible" w:eastAsia="Arial" w:hAnsi="Atkinson Hyperlegible" w:cs="Arial"/>
          <w:color w:val="000000"/>
          <w:sz w:val="24"/>
          <w:szCs w:val="24"/>
        </w:rPr>
        <w:t xml:space="preserve">. D’ailleurs, le travail de catégorisation n’est pas forcément univoque. Selon </w:t>
      </w:r>
      <w:proofErr w:type="spellStart"/>
      <w:r w:rsidRPr="00AB5BC3">
        <w:rPr>
          <w:rFonts w:ascii="Atkinson Hyperlegible" w:eastAsia="Arial" w:hAnsi="Atkinson Hyperlegible" w:cs="Arial"/>
          <w:color w:val="000000"/>
          <w:sz w:val="24"/>
          <w:szCs w:val="24"/>
        </w:rPr>
        <w:t>Béliard</w:t>
      </w:r>
      <w:proofErr w:type="spellEnd"/>
      <w:r w:rsidRPr="00AB5BC3">
        <w:rPr>
          <w:rFonts w:ascii="Atkinson Hyperlegible" w:eastAsia="Arial" w:hAnsi="Atkinson Hyperlegible" w:cs="Arial"/>
          <w:color w:val="000000"/>
          <w:sz w:val="24"/>
          <w:szCs w:val="24"/>
        </w:rPr>
        <w:t xml:space="preserve"> et </w:t>
      </w:r>
      <w:proofErr w:type="spellStart"/>
      <w:r w:rsidRPr="00AB5BC3">
        <w:rPr>
          <w:rFonts w:ascii="Atkinson Hyperlegible" w:eastAsia="Arial" w:hAnsi="Atkinson Hyperlegible" w:cs="Arial"/>
          <w:color w:val="000000"/>
          <w:sz w:val="24"/>
          <w:szCs w:val="24"/>
        </w:rPr>
        <w:t>Biland</w:t>
      </w:r>
      <w:proofErr w:type="spellEnd"/>
      <w:r w:rsidRPr="00AB5BC3">
        <w:rPr>
          <w:rFonts w:ascii="Atkinson Hyperlegible" w:eastAsia="Arial" w:hAnsi="Atkinson Hyperlegible" w:cs="Arial"/>
          <w:color w:val="000000"/>
          <w:sz w:val="24"/>
          <w:szCs w:val="24"/>
        </w:rPr>
        <w:t xml:space="preserve"> (2008), l’usage de ce type de matériaux permet aussi de révéler les rapports de pouvoir entre les acteurs impliqués dans le traitement des individus, et « la manière dont l’institution prend les décisions et parvient à parler d’une seule voix (...) en faisant taire les dissonances ». L’étude du matériau ici analysé pourrait enfin révéler la manière dont les normes et les catégorisations nationales sont traduites au niveau administratif local (</w:t>
      </w:r>
      <w:proofErr w:type="spellStart"/>
      <w:r w:rsidRPr="00AB5BC3">
        <w:rPr>
          <w:rFonts w:ascii="Atkinson Hyperlegible" w:eastAsia="Arial" w:hAnsi="Atkinson Hyperlegible" w:cs="Arial"/>
          <w:color w:val="000000"/>
          <w:sz w:val="24"/>
          <w:szCs w:val="24"/>
        </w:rPr>
        <w:t>Béliard</w:t>
      </w:r>
      <w:proofErr w:type="spellEnd"/>
      <w:r w:rsidRPr="00AB5BC3">
        <w:rPr>
          <w:rFonts w:ascii="Atkinson Hyperlegible" w:eastAsia="Arial" w:hAnsi="Atkinson Hyperlegible" w:cs="Arial"/>
          <w:color w:val="000000"/>
          <w:sz w:val="24"/>
          <w:szCs w:val="24"/>
        </w:rPr>
        <w:t xml:space="preserve"> et </w:t>
      </w:r>
      <w:proofErr w:type="spellStart"/>
      <w:r w:rsidRPr="00AB5BC3">
        <w:rPr>
          <w:rFonts w:ascii="Atkinson Hyperlegible" w:eastAsia="Arial" w:hAnsi="Atkinson Hyperlegible" w:cs="Arial"/>
          <w:color w:val="000000"/>
          <w:sz w:val="24"/>
          <w:szCs w:val="24"/>
        </w:rPr>
        <w:t>Biland</w:t>
      </w:r>
      <w:proofErr w:type="spellEnd"/>
      <w:r w:rsidRPr="00AB5BC3">
        <w:rPr>
          <w:rFonts w:ascii="Atkinson Hyperlegible" w:eastAsia="Arial" w:hAnsi="Atkinson Hyperlegible" w:cs="Arial"/>
          <w:color w:val="000000"/>
          <w:sz w:val="24"/>
          <w:szCs w:val="24"/>
        </w:rPr>
        <w:t xml:space="preserve">, 2008). Nous encourageons ainsi les communications à documenter autant les catégorisations administratives et leur production que ce qu’elles produisent sur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administré</w:t>
      </w:r>
      <w:proofErr w:type="gramEnd"/>
      <w:r w:rsidRPr="00AB5BC3">
        <w:rPr>
          <w:rFonts w:ascii="Atkinson Hyperlegible" w:eastAsia="Arial" w:hAnsi="Atkinson Hyperlegible" w:cs="Arial"/>
          <w:color w:val="000000"/>
          <w:sz w:val="24"/>
          <w:szCs w:val="24"/>
        </w:rPr>
        <w:t>·es</w:t>
      </w:r>
      <w:proofErr w:type="spellEnd"/>
      <w:r w:rsidRPr="00AB5BC3">
        <w:rPr>
          <w:rFonts w:ascii="Atkinson Hyperlegible" w:eastAsia="Arial" w:hAnsi="Atkinson Hyperlegible" w:cs="Arial"/>
          <w:color w:val="000000"/>
          <w:sz w:val="24"/>
          <w:szCs w:val="24"/>
        </w:rPr>
        <w:t xml:space="preserve"> y compris en matière de soumission à un ordre politique. </w:t>
      </w:r>
    </w:p>
    <w:p w14:paraId="7BD2968F" w14:textId="77777777" w:rsidR="00F323B3" w:rsidRPr="00AB5BC3" w:rsidRDefault="00B01643">
      <w:pPr>
        <w:pStyle w:val="Titre2"/>
        <w:rPr>
          <w:rFonts w:ascii="Atkinson Hyperlegible" w:hAnsi="Atkinson Hyperlegible"/>
        </w:rPr>
      </w:pPr>
      <w:r w:rsidRPr="00AB5BC3">
        <w:rPr>
          <w:rFonts w:ascii="Atkinson Hyperlegible" w:hAnsi="Atkinson Hyperlegible"/>
        </w:rPr>
        <w:t>Axe 3 : Enjeux éthiques et pratiques</w:t>
      </w:r>
    </w:p>
    <w:p w14:paraId="58E6D539" w14:textId="77777777" w:rsidR="00F323B3" w:rsidRPr="00AB5BC3" w:rsidRDefault="00B01643">
      <w:pPr>
        <w:rPr>
          <w:rFonts w:ascii="Atkinson Hyperlegible" w:hAnsi="Atkinson Hyperlegible"/>
        </w:rPr>
      </w:pPr>
      <w:bookmarkStart w:id="2" w:name="_Hlk220537084"/>
      <w:r w:rsidRPr="00AB5BC3">
        <w:rPr>
          <w:rFonts w:ascii="Atkinson Hyperlegible" w:eastAsia="Arial" w:hAnsi="Atkinson Hyperlegible" w:cs="Arial"/>
          <w:color w:val="000000"/>
          <w:sz w:val="24"/>
          <w:szCs w:val="24"/>
        </w:rPr>
        <w:t xml:space="preserve">Parce que leur production implique des rapports de pouvoir et des contraintes institutionnelles, les données et documents administratifs soulèvent, au-delà de leur analyse, des enjeux éthiques et pratiques centraux pour la recherche. Dans cette perspective, il importe de noter que ces données et documents sont, le plus souvent, à caractère personnel et peuvent parfois être récoltées sans l’assentiment des personnes concernées. Plusieurs questions éthiques se posent donc quant à leur collecte, leur conservation et leur </w:t>
      </w:r>
      <w:proofErr w:type="spellStart"/>
      <w:r w:rsidRPr="00AB5BC3">
        <w:rPr>
          <w:rFonts w:ascii="Atkinson Hyperlegible" w:eastAsia="Arial" w:hAnsi="Atkinson Hyperlegible" w:cs="Arial"/>
          <w:color w:val="000000"/>
          <w:sz w:val="24"/>
          <w:szCs w:val="24"/>
        </w:rPr>
        <w:t>ré-exploitation</w:t>
      </w:r>
      <w:proofErr w:type="spellEnd"/>
      <w:r w:rsidRPr="00AB5BC3">
        <w:rPr>
          <w:rFonts w:ascii="Atkinson Hyperlegible" w:eastAsia="Arial" w:hAnsi="Atkinson Hyperlegible" w:cs="Arial"/>
          <w:color w:val="000000"/>
          <w:sz w:val="24"/>
          <w:szCs w:val="24"/>
        </w:rPr>
        <w:t xml:space="preserve"> dans le cadre de la recherche. Si certaines sont circonscrites par des cadres réglementaires</w:t>
      </w:r>
      <w:r w:rsidRPr="00AB5BC3">
        <w:rPr>
          <w:rStyle w:val="Appelnotedebasdep"/>
          <w:rFonts w:ascii="Atkinson Hyperlegible" w:eastAsia="Arial" w:hAnsi="Atkinson Hyperlegible" w:cs="Arial"/>
          <w:color w:val="000000"/>
          <w:sz w:val="24"/>
          <w:szCs w:val="24"/>
        </w:rPr>
        <w:footnoteReference w:id="3"/>
      </w:r>
      <w:r w:rsidRPr="00AB5BC3">
        <w:rPr>
          <w:rFonts w:ascii="Atkinson Hyperlegible" w:eastAsia="Arial" w:hAnsi="Atkinson Hyperlegible" w:cs="Arial"/>
          <w:color w:val="000000"/>
          <w:sz w:val="24"/>
          <w:szCs w:val="24"/>
        </w:rPr>
        <w:t xml:space="preserve">, d’autres sont du ressort des chercheurs ou des chercheuses, en fonction des objectifs, des contours et des situations prises en compte par une recherche donnée. Dans un souci de protection des personnes, le respect de l’anonymat des individus dans les publications est un enjeu majeur auquel s’ajoute celui de ne pas collecter des informations qui ne seraient pas strictement nécessaire à la recherche, comme le souligne le principe de minimisation de la CNIL. De ce point de vue, les possibilités d’interconnexion ou d’appariement de sources administratives restent un point délicat dont les implications méritent d’être davantage interrogées. Les controverses sur la création d’un identifiant unique des personnes physiques sont connues. Mis en avant pendant l’Occupation, ce numéro, porteur de la mémoire sinistre du gouvernement de Vichy, a été rejeté à la Libération, puis dans les années </w:t>
      </w:r>
      <w:r w:rsidRPr="00AB5BC3">
        <w:rPr>
          <w:rFonts w:ascii="Atkinson Hyperlegible" w:eastAsia="Arial" w:hAnsi="Atkinson Hyperlegible" w:cs="Arial"/>
          <w:color w:val="000000"/>
          <w:sz w:val="24"/>
          <w:szCs w:val="24"/>
        </w:rPr>
        <w:lastRenderedPageBreak/>
        <w:t>1970 où il a été réenvisagé (Poulain, 2022). Ces dernières années, la volonté de promouvoir l’appariement de données administratives a donné lieu à la création du Code statistique non signifiant (CSNS), numéro qui n’apporte aucune information sur la personne à laquelle il est rattaché (</w:t>
      </w:r>
      <w:proofErr w:type="spellStart"/>
      <w:r w:rsidRPr="00AB5BC3">
        <w:rPr>
          <w:rFonts w:ascii="Atkinson Hyperlegible" w:eastAsia="Arial" w:hAnsi="Atkinson Hyperlegible" w:cs="Arial"/>
          <w:color w:val="000000"/>
          <w:sz w:val="24"/>
          <w:szCs w:val="24"/>
        </w:rPr>
        <w:t>Bénichou</w:t>
      </w:r>
      <w:proofErr w:type="spellEnd"/>
      <w:r w:rsidRPr="00AB5BC3">
        <w:rPr>
          <w:rFonts w:ascii="Atkinson Hyperlegible" w:eastAsia="Arial" w:hAnsi="Atkinson Hyperlegible" w:cs="Arial"/>
          <w:color w:val="000000"/>
          <w:sz w:val="24"/>
          <w:szCs w:val="24"/>
        </w:rPr>
        <w:t xml:space="preserve"> et al., 2023). Dans ce contexte, les communications proposées, pourront apporter un éclairage réflexif sur le sens, l’impact et les possibilités des pratiques en matière de mobilisation, d’appariement et de protection des données personnelles dès lors que sont mobilisées des données administratives pour la recherche en sciences sociales.</w:t>
      </w:r>
      <w:bookmarkEnd w:id="2"/>
    </w:p>
    <w:p w14:paraId="2A8ECD7D" w14:textId="77777777" w:rsidR="00F323B3" w:rsidRPr="00AB5BC3" w:rsidRDefault="00B01643">
      <w:pP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De la même façon, la réutilisation des données personnelles au-delà de la finalité pour laquelle elles ont été collectées </w:t>
      </w:r>
      <w:proofErr w:type="gramStart"/>
      <w:r w:rsidRPr="00AB5BC3">
        <w:rPr>
          <w:rFonts w:ascii="Atkinson Hyperlegible" w:eastAsia="Arial" w:hAnsi="Atkinson Hyperlegible" w:cs="Arial"/>
          <w:color w:val="000000"/>
          <w:sz w:val="24"/>
          <w:szCs w:val="24"/>
        </w:rPr>
        <w:t>peut être</w:t>
      </w:r>
      <w:proofErr w:type="gramEnd"/>
      <w:r w:rsidRPr="00AB5BC3">
        <w:rPr>
          <w:rFonts w:ascii="Atkinson Hyperlegible" w:eastAsia="Arial" w:hAnsi="Atkinson Hyperlegible" w:cs="Arial"/>
          <w:color w:val="000000"/>
          <w:sz w:val="24"/>
          <w:szCs w:val="24"/>
        </w:rPr>
        <w:t xml:space="preserve"> questionnée. Dans quelle mesure et sous quelles conditions sommes-nous </w:t>
      </w:r>
      <w:proofErr w:type="spellStart"/>
      <w:proofErr w:type="gramStart"/>
      <w:r w:rsidRPr="00AB5BC3">
        <w:rPr>
          <w:rFonts w:ascii="Atkinson Hyperlegible" w:eastAsia="Arial" w:hAnsi="Atkinson Hyperlegible" w:cs="Arial"/>
          <w:color w:val="000000"/>
          <w:sz w:val="24"/>
          <w:szCs w:val="24"/>
        </w:rPr>
        <w:t>autorisé</w:t>
      </w:r>
      <w:proofErr w:type="gramEnd"/>
      <w:r w:rsidRPr="00AB5BC3">
        <w:rPr>
          <w:rFonts w:ascii="Atkinson Hyperlegible" w:eastAsia="Arial" w:hAnsi="Atkinson Hyperlegible" w:cs="Arial"/>
          <w:color w:val="000000"/>
          <w:sz w:val="24"/>
          <w:szCs w:val="24"/>
        </w:rPr>
        <w:t>·es</w:t>
      </w:r>
      <w:proofErr w:type="spellEnd"/>
      <w:r w:rsidRPr="00AB5BC3">
        <w:rPr>
          <w:rFonts w:ascii="Atkinson Hyperlegible" w:eastAsia="Arial" w:hAnsi="Atkinson Hyperlegible" w:cs="Arial"/>
          <w:color w:val="000000"/>
          <w:sz w:val="24"/>
          <w:szCs w:val="24"/>
        </w:rPr>
        <w:t xml:space="preserve"> à les transporter au-delà du contexte et de la finalité de leur collecte ? Même si, dans certains cas, les personnes peuvent être initialement informées d’une possible réutilisation pour des fins de recherche scientifique, les termes et les objectifs de cette recherche leur échappent. L’information sur cette possible réutilisation n’est pas toujours perceptible par </w:t>
      </w:r>
      <w:proofErr w:type="gramStart"/>
      <w:r w:rsidRPr="00AB5BC3">
        <w:rPr>
          <w:rFonts w:ascii="Atkinson Hyperlegible" w:eastAsia="Arial" w:hAnsi="Atkinson Hyperlegible" w:cs="Arial"/>
          <w:color w:val="000000"/>
          <w:sz w:val="24"/>
          <w:szCs w:val="24"/>
        </w:rPr>
        <w:t xml:space="preserve">les </w:t>
      </w:r>
      <w:proofErr w:type="spellStart"/>
      <w:r w:rsidRPr="00AB5BC3">
        <w:rPr>
          <w:rFonts w:ascii="Atkinson Hyperlegible" w:eastAsia="Arial" w:hAnsi="Atkinson Hyperlegible" w:cs="Arial"/>
          <w:color w:val="000000"/>
          <w:sz w:val="24"/>
          <w:szCs w:val="24"/>
        </w:rPr>
        <w:t>répondant</w:t>
      </w:r>
      <w:proofErr w:type="gramEnd"/>
      <w:r w:rsidRPr="00AB5BC3">
        <w:rPr>
          <w:rFonts w:ascii="Atkinson Hyperlegible" w:eastAsia="Arial" w:hAnsi="Atkinson Hyperlegible" w:cs="Arial"/>
          <w:color w:val="000000"/>
          <w:sz w:val="24"/>
          <w:szCs w:val="24"/>
        </w:rPr>
        <w:t>·es</w:t>
      </w:r>
      <w:proofErr w:type="spellEnd"/>
      <w:r w:rsidRPr="00AB5BC3">
        <w:rPr>
          <w:rFonts w:ascii="Atkinson Hyperlegible" w:eastAsia="Arial" w:hAnsi="Atkinson Hyperlegible" w:cs="Arial"/>
          <w:color w:val="000000"/>
          <w:sz w:val="24"/>
          <w:szCs w:val="24"/>
        </w:rPr>
        <w:t xml:space="preserve">, peu </w:t>
      </w:r>
      <w:proofErr w:type="spellStart"/>
      <w:r w:rsidRPr="00AB5BC3">
        <w:rPr>
          <w:rFonts w:ascii="Atkinson Hyperlegible" w:eastAsia="Arial" w:hAnsi="Atkinson Hyperlegible" w:cs="Arial"/>
          <w:color w:val="000000"/>
          <w:sz w:val="24"/>
          <w:szCs w:val="24"/>
        </w:rPr>
        <w:t>averti·es</w:t>
      </w:r>
      <w:proofErr w:type="spellEnd"/>
      <w:r w:rsidRPr="00AB5BC3">
        <w:rPr>
          <w:rFonts w:ascii="Atkinson Hyperlegible" w:eastAsia="Arial" w:hAnsi="Atkinson Hyperlegible" w:cs="Arial"/>
          <w:color w:val="000000"/>
          <w:sz w:val="24"/>
          <w:szCs w:val="24"/>
        </w:rPr>
        <w:t xml:space="preserve"> des procédures de circulation des données. Les communications se centrant sur ces questionnements sont vivement encouragées.</w:t>
      </w:r>
    </w:p>
    <w:p w14:paraId="436E0FD3" w14:textId="77777777" w:rsidR="00F323B3" w:rsidRPr="00AB5BC3" w:rsidRDefault="00B01643">
      <w:pPr>
        <w:rPr>
          <w:rFonts w:ascii="Atkinson Hyperlegible" w:eastAsia="Arial" w:hAnsi="Atkinson Hyperlegible" w:cs="Arial"/>
          <w:color w:val="000000"/>
          <w:sz w:val="24"/>
          <w:szCs w:val="24"/>
        </w:rPr>
      </w:pPr>
      <w:r w:rsidRPr="00AB5BC3">
        <w:rPr>
          <w:rFonts w:ascii="Atkinson Hyperlegible" w:eastAsia="Arial" w:hAnsi="Atkinson Hyperlegible" w:cs="Arial"/>
          <w:color w:val="000000"/>
          <w:sz w:val="24"/>
          <w:szCs w:val="24"/>
        </w:rPr>
        <w:t xml:space="preserve">De surcroît, le caractère personnel du matériau ici considéré peut rendre l’accès plus difficile, coûteux et chronophage. Les négociations avec les administrations peuvent être longues et l’accord risque d’être associé à une réorientation de la recherche. L’accès aux données statistiques s’effectue de plus en plus souvent via le Centre d’accès sécurisé aux données (CASD), ce qui génère des inégalités entre </w:t>
      </w:r>
      <w:proofErr w:type="spellStart"/>
      <w:r w:rsidRPr="00AB5BC3">
        <w:rPr>
          <w:rFonts w:ascii="Atkinson Hyperlegible" w:eastAsia="Arial" w:hAnsi="Atkinson Hyperlegible" w:cs="Arial"/>
          <w:color w:val="000000"/>
          <w:sz w:val="24"/>
          <w:szCs w:val="24"/>
        </w:rPr>
        <w:t>chercheur·es</w:t>
      </w:r>
      <w:proofErr w:type="spellEnd"/>
      <w:r w:rsidRPr="00AB5BC3">
        <w:rPr>
          <w:rFonts w:ascii="Atkinson Hyperlegible" w:eastAsia="Arial" w:hAnsi="Atkinson Hyperlegible" w:cs="Arial"/>
          <w:color w:val="000000"/>
          <w:sz w:val="24"/>
          <w:szCs w:val="24"/>
        </w:rPr>
        <w:t xml:space="preserve"> selon leur statut et leur rattachement. L’accès au matériau peut être assez restrictif, aussi bien par son coût financier que pour s’assurer du respect de la confidentialité, ou pour ne pas déranger le travail quotidien de l’administration. C’est par exemple le cas de certaines recherches sur les dossiers scolaires ou médicaux qui impliquent que les </w:t>
      </w:r>
      <w:proofErr w:type="spellStart"/>
      <w:r w:rsidRPr="00AB5BC3">
        <w:rPr>
          <w:rFonts w:ascii="Atkinson Hyperlegible" w:eastAsia="Arial" w:hAnsi="Atkinson Hyperlegible" w:cs="Arial"/>
          <w:color w:val="000000"/>
          <w:sz w:val="24"/>
          <w:szCs w:val="24"/>
        </w:rPr>
        <w:t>chercheur·es</w:t>
      </w:r>
      <w:proofErr w:type="spellEnd"/>
      <w:r w:rsidRPr="00AB5BC3">
        <w:rPr>
          <w:rFonts w:ascii="Atkinson Hyperlegible" w:eastAsia="Arial" w:hAnsi="Atkinson Hyperlegible" w:cs="Arial"/>
          <w:color w:val="000000"/>
          <w:sz w:val="24"/>
          <w:szCs w:val="24"/>
        </w:rPr>
        <w:t xml:space="preserve"> consultent les documents dans un lieu défini (se rapprochant ainsi des travaux historiques sur archives) et potentiellement sous le regard de l’administration étudiée (Cayouette-</w:t>
      </w:r>
      <w:proofErr w:type="spellStart"/>
      <w:r w:rsidRPr="00AB5BC3">
        <w:rPr>
          <w:rFonts w:ascii="Atkinson Hyperlegible" w:eastAsia="Arial" w:hAnsi="Atkinson Hyperlegible" w:cs="Arial"/>
          <w:color w:val="000000"/>
          <w:sz w:val="24"/>
          <w:szCs w:val="24"/>
        </w:rPr>
        <w:t>Remblière</w:t>
      </w:r>
      <w:proofErr w:type="spellEnd"/>
      <w:r w:rsidRPr="00AB5BC3">
        <w:rPr>
          <w:rFonts w:ascii="Atkinson Hyperlegible" w:eastAsia="Arial" w:hAnsi="Atkinson Hyperlegible" w:cs="Arial"/>
          <w:color w:val="000000"/>
          <w:sz w:val="24"/>
          <w:szCs w:val="24"/>
        </w:rPr>
        <w:t xml:space="preserve">, 2016 ; Mathieu, Froger-Lefebvre et </w:t>
      </w:r>
      <w:proofErr w:type="spellStart"/>
      <w:r w:rsidRPr="00AB5BC3">
        <w:rPr>
          <w:rFonts w:ascii="Atkinson Hyperlegible" w:eastAsia="Arial" w:hAnsi="Atkinson Hyperlegible" w:cs="Arial"/>
          <w:color w:val="000000"/>
          <w:sz w:val="24"/>
          <w:szCs w:val="24"/>
        </w:rPr>
        <w:t>Dall'Agnola</w:t>
      </w:r>
      <w:proofErr w:type="spellEnd"/>
      <w:r w:rsidRPr="00AB5BC3">
        <w:rPr>
          <w:rFonts w:ascii="Atkinson Hyperlegible" w:eastAsia="Arial" w:hAnsi="Atkinson Hyperlegible" w:cs="Arial"/>
          <w:color w:val="000000"/>
          <w:sz w:val="24"/>
          <w:szCs w:val="24"/>
        </w:rPr>
        <w:t xml:space="preserve">, 2025). Les communications pourront ainsi se pencher sur les contraintes pratiques d’accès aux données et documents administratifs et éclairer les conditions de possibilité de ce type de recherche (notamment au regard du positionnement institutionnel du ou de la </w:t>
      </w:r>
      <w:proofErr w:type="spellStart"/>
      <w:r w:rsidRPr="00AB5BC3">
        <w:rPr>
          <w:rFonts w:ascii="Atkinson Hyperlegible" w:eastAsia="Arial" w:hAnsi="Atkinson Hyperlegible" w:cs="Arial"/>
          <w:color w:val="000000"/>
          <w:sz w:val="24"/>
          <w:szCs w:val="24"/>
        </w:rPr>
        <w:t>chercheur·euse</w:t>
      </w:r>
      <w:proofErr w:type="spellEnd"/>
      <w:r w:rsidRPr="00AB5BC3">
        <w:rPr>
          <w:rFonts w:ascii="Atkinson Hyperlegible" w:eastAsia="Arial" w:hAnsi="Atkinson Hyperlegible" w:cs="Arial"/>
          <w:color w:val="000000"/>
          <w:sz w:val="24"/>
          <w:szCs w:val="24"/>
        </w:rPr>
        <w:t>).</w:t>
      </w:r>
    </w:p>
    <w:p w14:paraId="7061DC34" w14:textId="77777777" w:rsidR="00F323B3" w:rsidRPr="00AB5BC3" w:rsidRDefault="00B01643" w:rsidP="006620CA">
      <w:pPr>
        <w:pStyle w:val="Titre1"/>
        <w:keepNext/>
        <w:rPr>
          <w:rFonts w:ascii="Atkinson Hyperlegible" w:hAnsi="Atkinson Hyperlegible"/>
        </w:rPr>
      </w:pPr>
      <w:bookmarkStart w:id="3" w:name="_Toc224647858"/>
      <w:r w:rsidRPr="00AB5BC3">
        <w:rPr>
          <w:rFonts w:ascii="Atkinson Hyperlegible" w:hAnsi="Atkinson Hyperlegible"/>
        </w:rPr>
        <w:t>Modalités de soumission</w:t>
      </w:r>
      <w:bookmarkEnd w:id="3"/>
    </w:p>
    <w:p w14:paraId="7549ACD3" w14:textId="77777777" w:rsidR="00F323B3" w:rsidRPr="00AB5BC3" w:rsidRDefault="00B01643" w:rsidP="006620CA">
      <w:pPr>
        <w:keepNext/>
        <w:tabs>
          <w:tab w:val="left" w:pos="6520"/>
        </w:tabs>
        <w:rPr>
          <w:rFonts w:ascii="Atkinson Hyperlegible" w:hAnsi="Atkinson Hyperlegible"/>
        </w:rPr>
      </w:pPr>
      <w:r w:rsidRPr="00AB5BC3">
        <w:rPr>
          <w:rFonts w:ascii="Atkinson Hyperlegible" w:eastAsia="Arial" w:hAnsi="Atkinson Hyperlegible" w:cs="Arial"/>
          <w:sz w:val="24"/>
          <w:szCs w:val="24"/>
          <w:shd w:val="clear" w:color="auto" w:fill="FFFFFF"/>
        </w:rPr>
        <w:t xml:space="preserve">Les propositions de communication, d’une taille maximale de 3 500 signes (espaces compris, hors bibliographie), sont à déposer </w:t>
      </w:r>
      <w:r w:rsidRPr="00AB5BC3">
        <w:rPr>
          <w:rFonts w:ascii="Atkinson Hyperlegible" w:eastAsia="Arial" w:hAnsi="Atkinson Hyperlegible" w:cs="Arial"/>
          <w:b/>
          <w:sz w:val="24"/>
          <w:szCs w:val="24"/>
          <w:shd w:val="clear" w:color="auto" w:fill="FFFFFF"/>
        </w:rPr>
        <w:t>le lundi 4 mai au plus tard</w:t>
      </w:r>
      <w:r w:rsidRPr="00AB5BC3">
        <w:rPr>
          <w:rFonts w:ascii="Atkinson Hyperlegible" w:eastAsia="Arial" w:hAnsi="Atkinson Hyperlegible" w:cs="Arial"/>
          <w:sz w:val="24"/>
          <w:szCs w:val="24"/>
          <w:shd w:val="clear" w:color="auto" w:fill="FFFFFF"/>
        </w:rPr>
        <w:t xml:space="preserve"> sur le site suivant : </w:t>
      </w:r>
      <w:hyperlink r:id="rId8" w:tooltip="https://donnees-admin.sciencesconf.org/" w:history="1">
        <w:r w:rsidRPr="00AB5BC3">
          <w:rPr>
            <w:rStyle w:val="Lienhypertexte"/>
            <w:rFonts w:ascii="Atkinson Hyperlegible" w:eastAsia="Arial" w:hAnsi="Atkinson Hyperlegible" w:cs="Arial"/>
            <w:sz w:val="24"/>
            <w:szCs w:val="24"/>
            <w:shd w:val="clear" w:color="auto" w:fill="FFFFFF"/>
          </w:rPr>
          <w:t>https://donnees-admin.sciencesconf.org</w:t>
        </w:r>
      </w:hyperlink>
      <w:r w:rsidRPr="00AB5BC3">
        <w:rPr>
          <w:rFonts w:ascii="Atkinson Hyperlegible" w:eastAsia="Arial" w:hAnsi="Atkinson Hyperlegible" w:cs="Arial"/>
          <w:sz w:val="24"/>
          <w:szCs w:val="24"/>
          <w:shd w:val="clear" w:color="auto" w:fill="FFFFFF"/>
        </w:rPr>
        <w:t>. Elles doivent inclure, outre le titre et le résumé, vos nom(s), rattachement(s) institutionnel(s) et adresse(s) électronique(s).</w:t>
      </w:r>
      <w:r w:rsidRPr="00AB5BC3">
        <w:rPr>
          <w:rFonts w:ascii="Atkinson Hyperlegible" w:eastAsia="Arial" w:hAnsi="Atkinson Hyperlegible" w:cs="Arial"/>
          <w:sz w:val="24"/>
          <w:szCs w:val="24"/>
          <w:shd w:val="clear" w:color="auto" w:fill="FFFFFF"/>
        </w:rPr>
        <w:tab/>
      </w:r>
      <w:r w:rsidRPr="00AB5BC3">
        <w:rPr>
          <w:rFonts w:ascii="Atkinson Hyperlegible" w:eastAsia="Arial" w:hAnsi="Atkinson Hyperlegible" w:cs="Arial"/>
          <w:sz w:val="24"/>
          <w:szCs w:val="24"/>
          <w:shd w:val="clear" w:color="auto" w:fill="FFFFFF"/>
        </w:rPr>
        <w:br/>
        <w:t>Les communications dureront environ une vingtaine de minutes.</w:t>
      </w:r>
    </w:p>
    <w:p w14:paraId="26781743" w14:textId="77777777" w:rsidR="00F323B3" w:rsidRPr="00AB5BC3" w:rsidRDefault="00B01643">
      <w:pPr>
        <w:tabs>
          <w:tab w:val="left" w:pos="6520"/>
        </w:tabs>
        <w:rPr>
          <w:rFonts w:ascii="Atkinson Hyperlegible" w:hAnsi="Atkinson Hyperlegible"/>
        </w:rPr>
      </w:pPr>
      <w:r w:rsidRPr="00AB5BC3">
        <w:rPr>
          <w:rFonts w:ascii="Atkinson Hyperlegible" w:eastAsia="Arial" w:hAnsi="Atkinson Hyperlegible" w:cs="Arial"/>
          <w:sz w:val="24"/>
          <w:szCs w:val="24"/>
          <w:shd w:val="clear" w:color="auto" w:fill="FFFFFF"/>
        </w:rPr>
        <w:t>Les propositions de communication seront évaluées par les membres du bureau du RT20. Les résultats seront</w:t>
      </w:r>
      <w:r w:rsidRPr="00AB5BC3">
        <w:rPr>
          <w:rFonts w:ascii="Atkinson Hyperlegible" w:eastAsia="Arial" w:hAnsi="Atkinson Hyperlegible" w:cs="Arial"/>
          <w:sz w:val="24"/>
          <w:szCs w:val="24"/>
        </w:rPr>
        <w:t xml:space="preserve"> transmis aux </w:t>
      </w:r>
      <w:proofErr w:type="spellStart"/>
      <w:r w:rsidRPr="00AB5BC3">
        <w:rPr>
          <w:rFonts w:ascii="Atkinson Hyperlegible" w:eastAsia="Arial" w:hAnsi="Atkinson Hyperlegible" w:cs="Arial"/>
          <w:sz w:val="24"/>
          <w:szCs w:val="24"/>
        </w:rPr>
        <w:t>auteur</w:t>
      </w:r>
      <w:r w:rsidRPr="00AB5BC3">
        <w:rPr>
          <w:rFonts w:ascii="Atkinson Hyperlegible" w:eastAsia="Arial" w:hAnsi="Atkinson Hyperlegible" w:cs="Arial"/>
          <w:sz w:val="24"/>
          <w:szCs w:val="24"/>
          <w:shd w:val="clear" w:color="auto" w:fill="FFFFFF"/>
        </w:rPr>
        <w:t>·</w:t>
      </w:r>
      <w:r w:rsidRPr="00AB5BC3">
        <w:rPr>
          <w:rFonts w:ascii="Atkinson Hyperlegible" w:eastAsia="Arial" w:hAnsi="Atkinson Hyperlegible" w:cs="Arial"/>
          <w:sz w:val="24"/>
          <w:szCs w:val="24"/>
        </w:rPr>
        <w:t>ices</w:t>
      </w:r>
      <w:proofErr w:type="spellEnd"/>
      <w:r w:rsidRPr="00AB5BC3">
        <w:rPr>
          <w:rFonts w:ascii="Atkinson Hyperlegible" w:eastAsia="Arial" w:hAnsi="Atkinson Hyperlegible" w:cs="Arial"/>
          <w:sz w:val="24"/>
          <w:szCs w:val="24"/>
        </w:rPr>
        <w:t xml:space="preserve"> mi-juillet. </w:t>
      </w:r>
      <w:r w:rsidRPr="00AB5BC3">
        <w:rPr>
          <w:rFonts w:ascii="Atkinson Hyperlegible" w:eastAsia="Arial" w:hAnsi="Atkinson Hyperlegible" w:cs="Arial"/>
          <w:sz w:val="24"/>
          <w:szCs w:val="24"/>
        </w:rPr>
        <w:tab/>
      </w:r>
    </w:p>
    <w:p w14:paraId="68211B83" w14:textId="77777777" w:rsidR="00F323B3" w:rsidRPr="00AB5BC3" w:rsidRDefault="00B01643">
      <w:pPr>
        <w:pStyle w:val="Titre1"/>
        <w:keepNext/>
        <w:widowControl/>
        <w:rPr>
          <w:rFonts w:ascii="Atkinson Hyperlegible" w:hAnsi="Atkinson Hyperlegible"/>
        </w:rPr>
      </w:pPr>
      <w:bookmarkStart w:id="4" w:name="_Toc224647859"/>
      <w:r w:rsidRPr="00AB5BC3">
        <w:rPr>
          <w:rFonts w:ascii="Atkinson Hyperlegible" w:hAnsi="Atkinson Hyperlegible"/>
        </w:rPr>
        <w:lastRenderedPageBreak/>
        <w:t>Comité d’organisation</w:t>
      </w:r>
      <w:bookmarkEnd w:id="4"/>
      <w:r w:rsidRPr="00AB5BC3">
        <w:rPr>
          <w:rFonts w:ascii="Atkinson Hyperlegible" w:hAnsi="Atkinson Hyperlegible"/>
        </w:rPr>
        <w:t xml:space="preserve"> </w:t>
      </w:r>
    </w:p>
    <w:p w14:paraId="592956F1" w14:textId="1567C113" w:rsidR="00F323B3" w:rsidRPr="00AB5BC3" w:rsidRDefault="00B01643">
      <w:pPr>
        <w:pStyle w:val="Sous-titre"/>
        <w:keepNext/>
        <w:widowControl/>
        <w:numPr>
          <w:ilvl w:val="0"/>
          <w:numId w:val="1"/>
        </w:numPr>
        <w:spacing w:after="0"/>
        <w:jc w:val="both"/>
        <w:rPr>
          <w:rFonts w:ascii="Atkinson Hyperlegible" w:hAnsi="Atkinson Hyperlegible"/>
        </w:rPr>
      </w:pPr>
      <w:r w:rsidRPr="00AB5BC3">
        <w:rPr>
          <w:rFonts w:ascii="Atkinson Hyperlegible" w:eastAsia="Arial" w:hAnsi="Atkinson Hyperlegible" w:cs="Arial"/>
          <w:color w:val="000000"/>
          <w:spacing w:val="0"/>
          <w:sz w:val="24"/>
          <w:szCs w:val="24"/>
          <w:shd w:val="clear" w:color="auto" w:fill="FFFFFF"/>
        </w:rPr>
        <w:t>Paul COCHET (</w:t>
      </w:r>
      <w:proofErr w:type="spellStart"/>
      <w:r w:rsidRPr="00AB5BC3">
        <w:rPr>
          <w:rFonts w:ascii="Atkinson Hyperlegible" w:eastAsia="Arial" w:hAnsi="Atkinson Hyperlegible" w:cs="Arial"/>
          <w:color w:val="000000"/>
          <w:spacing w:val="0"/>
          <w:sz w:val="24"/>
          <w:szCs w:val="24"/>
          <w:shd w:val="clear" w:color="auto" w:fill="FFFFFF"/>
        </w:rPr>
        <w:t>Ined</w:t>
      </w:r>
      <w:proofErr w:type="spellEnd"/>
      <w:r w:rsidR="00CF7CBD">
        <w:rPr>
          <w:rFonts w:ascii="Atkinson Hyperlegible" w:eastAsia="Arial" w:hAnsi="Atkinson Hyperlegible" w:cs="Arial"/>
          <w:color w:val="000000"/>
          <w:spacing w:val="0"/>
          <w:sz w:val="24"/>
          <w:szCs w:val="24"/>
          <w:shd w:val="clear" w:color="auto" w:fill="FFFFFF"/>
        </w:rPr>
        <w:t>, SES</w:t>
      </w:r>
      <w:r w:rsidRPr="00AB5BC3">
        <w:rPr>
          <w:rFonts w:ascii="Atkinson Hyperlegible" w:eastAsia="Arial" w:hAnsi="Atkinson Hyperlegible" w:cs="Arial"/>
          <w:color w:val="000000"/>
          <w:spacing w:val="0"/>
          <w:sz w:val="24"/>
          <w:szCs w:val="24"/>
          <w:shd w:val="clear" w:color="auto" w:fill="FFFFFF"/>
        </w:rPr>
        <w:t>),</w:t>
      </w:r>
    </w:p>
    <w:p w14:paraId="21F93A0A" w14:textId="135A95C5" w:rsidR="00F323B3" w:rsidRPr="00AB5BC3" w:rsidRDefault="00B01643">
      <w:pPr>
        <w:pStyle w:val="Sous-titre"/>
        <w:keepNext/>
        <w:widowControl/>
        <w:numPr>
          <w:ilvl w:val="0"/>
          <w:numId w:val="1"/>
        </w:numPr>
        <w:spacing w:after="0"/>
        <w:jc w:val="both"/>
        <w:rPr>
          <w:rFonts w:ascii="Atkinson Hyperlegible" w:hAnsi="Atkinson Hyperlegible"/>
        </w:rPr>
      </w:pPr>
      <w:r w:rsidRPr="00AB5BC3">
        <w:rPr>
          <w:rFonts w:ascii="Atkinson Hyperlegible" w:eastAsia="Arial" w:hAnsi="Atkinson Hyperlegible" w:cs="Arial"/>
          <w:color w:val="000000"/>
          <w:spacing w:val="0"/>
          <w:sz w:val="24"/>
          <w:szCs w:val="24"/>
          <w:shd w:val="clear" w:color="auto" w:fill="FFFFFF"/>
        </w:rPr>
        <w:t>Julia DESCAMPS (</w:t>
      </w:r>
      <w:proofErr w:type="spellStart"/>
      <w:r w:rsidRPr="00AB5BC3">
        <w:rPr>
          <w:rFonts w:ascii="Atkinson Hyperlegible" w:eastAsia="Arial" w:hAnsi="Atkinson Hyperlegible" w:cs="Arial"/>
          <w:color w:val="000000"/>
          <w:spacing w:val="0"/>
          <w:sz w:val="24"/>
          <w:szCs w:val="24"/>
          <w:shd w:val="clear" w:color="auto" w:fill="FFFFFF"/>
        </w:rPr>
        <w:t>Ined</w:t>
      </w:r>
      <w:proofErr w:type="spellEnd"/>
      <w:r w:rsidR="00CF7CBD">
        <w:rPr>
          <w:rFonts w:ascii="Atkinson Hyperlegible" w:eastAsia="Arial" w:hAnsi="Atkinson Hyperlegible" w:cs="Arial"/>
          <w:color w:val="000000"/>
          <w:spacing w:val="0"/>
          <w:sz w:val="24"/>
          <w:szCs w:val="24"/>
          <w:shd w:val="clear" w:color="auto" w:fill="FFFFFF"/>
        </w:rPr>
        <w:t>, UR8</w:t>
      </w:r>
      <w:r w:rsidRPr="00AB5BC3">
        <w:rPr>
          <w:rFonts w:ascii="Atkinson Hyperlegible" w:eastAsia="Arial" w:hAnsi="Atkinson Hyperlegible" w:cs="Arial"/>
          <w:color w:val="000000"/>
          <w:spacing w:val="0"/>
          <w:sz w:val="24"/>
          <w:szCs w:val="24"/>
          <w:shd w:val="clear" w:color="auto" w:fill="FFFFFF"/>
        </w:rPr>
        <w:t>),</w:t>
      </w:r>
    </w:p>
    <w:p w14:paraId="713446FB" w14:textId="6285C5FC" w:rsidR="00F323B3" w:rsidRPr="00AB5BC3" w:rsidRDefault="00B01643">
      <w:pPr>
        <w:pStyle w:val="Sous-titre"/>
        <w:keepNext/>
        <w:widowControl/>
        <w:numPr>
          <w:ilvl w:val="0"/>
          <w:numId w:val="1"/>
        </w:numPr>
        <w:spacing w:after="0"/>
        <w:jc w:val="both"/>
        <w:rPr>
          <w:rFonts w:ascii="Atkinson Hyperlegible" w:hAnsi="Atkinson Hyperlegible"/>
        </w:rPr>
      </w:pPr>
      <w:proofErr w:type="spellStart"/>
      <w:r w:rsidRPr="00AB5BC3">
        <w:rPr>
          <w:rFonts w:ascii="Atkinson Hyperlegible" w:eastAsia="Arial" w:hAnsi="Atkinson Hyperlegible" w:cs="Arial"/>
          <w:color w:val="000000"/>
          <w:spacing w:val="0"/>
          <w:sz w:val="24"/>
          <w:szCs w:val="24"/>
          <w:shd w:val="clear" w:color="auto" w:fill="FFFFFF"/>
        </w:rPr>
        <w:t>Efi</w:t>
      </w:r>
      <w:proofErr w:type="spellEnd"/>
      <w:r w:rsidRPr="00AB5BC3">
        <w:rPr>
          <w:rFonts w:ascii="Atkinson Hyperlegible" w:eastAsia="Arial" w:hAnsi="Atkinson Hyperlegible" w:cs="Arial"/>
          <w:color w:val="000000"/>
          <w:spacing w:val="0"/>
          <w:sz w:val="24"/>
          <w:szCs w:val="24"/>
          <w:shd w:val="clear" w:color="auto" w:fill="FFFFFF"/>
        </w:rPr>
        <w:t xml:space="preserve"> MARKOU (</w:t>
      </w:r>
      <w:proofErr w:type="spellStart"/>
      <w:r w:rsidRPr="00AB5BC3">
        <w:rPr>
          <w:rFonts w:ascii="Atkinson Hyperlegible" w:eastAsia="Arial" w:hAnsi="Atkinson Hyperlegible" w:cs="Arial"/>
          <w:color w:val="000000"/>
          <w:spacing w:val="0"/>
          <w:sz w:val="24"/>
          <w:szCs w:val="24"/>
          <w:shd w:val="clear" w:color="auto" w:fill="FFFFFF"/>
        </w:rPr>
        <w:t>Ined</w:t>
      </w:r>
      <w:proofErr w:type="spellEnd"/>
      <w:r w:rsidR="00CF7CBD">
        <w:rPr>
          <w:rFonts w:ascii="Atkinson Hyperlegible" w:eastAsia="Arial" w:hAnsi="Atkinson Hyperlegible" w:cs="Arial"/>
          <w:color w:val="000000"/>
          <w:spacing w:val="0"/>
          <w:sz w:val="24"/>
          <w:szCs w:val="24"/>
          <w:shd w:val="clear" w:color="auto" w:fill="FFFFFF"/>
        </w:rPr>
        <w:t>, SES</w:t>
      </w:r>
      <w:r w:rsidRPr="00AB5BC3">
        <w:rPr>
          <w:rFonts w:ascii="Atkinson Hyperlegible" w:eastAsia="Arial" w:hAnsi="Atkinson Hyperlegible" w:cs="Arial"/>
          <w:color w:val="000000"/>
          <w:spacing w:val="0"/>
          <w:sz w:val="24"/>
          <w:szCs w:val="24"/>
          <w:shd w:val="clear" w:color="auto" w:fill="FFFFFF"/>
        </w:rPr>
        <w:t>),</w:t>
      </w:r>
    </w:p>
    <w:p w14:paraId="7D93F19B" w14:textId="3B701E38" w:rsidR="00F323B3" w:rsidRPr="00AB5BC3" w:rsidRDefault="00B01643">
      <w:pPr>
        <w:pStyle w:val="Sous-titre"/>
        <w:keepNext/>
        <w:widowControl/>
        <w:numPr>
          <w:ilvl w:val="0"/>
          <w:numId w:val="1"/>
        </w:numPr>
        <w:spacing w:after="0"/>
        <w:jc w:val="both"/>
        <w:rPr>
          <w:rFonts w:ascii="Atkinson Hyperlegible" w:hAnsi="Atkinson Hyperlegible"/>
        </w:rPr>
      </w:pPr>
      <w:r w:rsidRPr="00AB5BC3">
        <w:rPr>
          <w:rFonts w:ascii="Atkinson Hyperlegible" w:eastAsia="Arial" w:hAnsi="Atkinson Hyperlegible" w:cs="Arial"/>
          <w:color w:val="000000"/>
          <w:spacing w:val="0"/>
          <w:sz w:val="24"/>
          <w:szCs w:val="24"/>
          <w:shd w:val="clear" w:color="auto" w:fill="FFFFFF"/>
        </w:rPr>
        <w:t>Lucas PAGE PEREIRA (ENS Paris-Saclay</w:t>
      </w:r>
      <w:r w:rsidR="00CF7CBD">
        <w:rPr>
          <w:rFonts w:ascii="Atkinson Hyperlegible" w:eastAsia="Arial" w:hAnsi="Atkinson Hyperlegible" w:cs="Arial"/>
          <w:color w:val="000000"/>
          <w:spacing w:val="0"/>
          <w:sz w:val="24"/>
          <w:szCs w:val="24"/>
          <w:shd w:val="clear" w:color="auto" w:fill="FFFFFF"/>
        </w:rPr>
        <w:t>, IDHE.S</w:t>
      </w:r>
      <w:r w:rsidRPr="00AB5BC3">
        <w:rPr>
          <w:rFonts w:ascii="Atkinson Hyperlegible" w:eastAsia="Arial" w:hAnsi="Atkinson Hyperlegible" w:cs="Arial"/>
          <w:color w:val="000000"/>
          <w:spacing w:val="0"/>
          <w:sz w:val="24"/>
          <w:szCs w:val="24"/>
          <w:shd w:val="clear" w:color="auto" w:fill="FFFFFF"/>
        </w:rPr>
        <w:t>),</w:t>
      </w:r>
    </w:p>
    <w:p w14:paraId="2FA8D333" w14:textId="4B6E535A" w:rsidR="00F323B3" w:rsidRPr="00AB5BC3" w:rsidRDefault="00B01643">
      <w:pPr>
        <w:pStyle w:val="Sous-titre"/>
        <w:keepNext/>
        <w:widowControl/>
        <w:numPr>
          <w:ilvl w:val="0"/>
          <w:numId w:val="1"/>
        </w:numPr>
        <w:spacing w:after="0"/>
        <w:jc w:val="both"/>
        <w:rPr>
          <w:rFonts w:ascii="Atkinson Hyperlegible" w:hAnsi="Atkinson Hyperlegible"/>
        </w:rPr>
      </w:pPr>
      <w:r w:rsidRPr="00AB5BC3">
        <w:rPr>
          <w:rFonts w:ascii="Atkinson Hyperlegible" w:eastAsia="Arial" w:hAnsi="Atkinson Hyperlegible" w:cs="Arial"/>
          <w:color w:val="000000"/>
          <w:spacing w:val="0"/>
          <w:sz w:val="24"/>
          <w:szCs w:val="24"/>
          <w:shd w:val="clear" w:color="auto" w:fill="FFFFFF"/>
        </w:rPr>
        <w:t>Vic SESSEGO (Université de Versailles-Saint-Quentin-en-Yvelines</w:t>
      </w:r>
      <w:r w:rsidR="00CF7CBD">
        <w:rPr>
          <w:rFonts w:ascii="Atkinson Hyperlegible" w:eastAsia="Arial" w:hAnsi="Atkinson Hyperlegible" w:cs="Arial"/>
          <w:color w:val="000000"/>
          <w:spacing w:val="0"/>
          <w:sz w:val="24"/>
          <w:szCs w:val="24"/>
          <w:shd w:val="clear" w:color="auto" w:fill="FFFFFF"/>
        </w:rPr>
        <w:t>, PRINTEMPS</w:t>
      </w:r>
      <w:r w:rsidRPr="00AB5BC3">
        <w:rPr>
          <w:rFonts w:ascii="Atkinson Hyperlegible" w:eastAsia="Arial" w:hAnsi="Atkinson Hyperlegible" w:cs="Arial"/>
          <w:color w:val="000000"/>
          <w:spacing w:val="0"/>
          <w:sz w:val="24"/>
          <w:szCs w:val="24"/>
          <w:shd w:val="clear" w:color="auto" w:fill="FFFFFF"/>
        </w:rPr>
        <w:t>),</w:t>
      </w:r>
    </w:p>
    <w:p w14:paraId="7ABB2A29" w14:textId="7985D83C" w:rsidR="00F323B3" w:rsidRPr="00AB5BC3" w:rsidRDefault="00B01643">
      <w:pPr>
        <w:pStyle w:val="Sous-titre"/>
        <w:keepNext/>
        <w:widowControl/>
        <w:numPr>
          <w:ilvl w:val="0"/>
          <w:numId w:val="1"/>
        </w:numPr>
        <w:spacing w:after="0"/>
        <w:jc w:val="both"/>
        <w:rPr>
          <w:rFonts w:ascii="Atkinson Hyperlegible" w:hAnsi="Atkinson Hyperlegible"/>
        </w:rPr>
      </w:pPr>
      <w:r w:rsidRPr="00AB5BC3">
        <w:rPr>
          <w:rFonts w:ascii="Atkinson Hyperlegible" w:eastAsia="Arial" w:hAnsi="Atkinson Hyperlegible" w:cs="Arial"/>
          <w:color w:val="000000"/>
          <w:spacing w:val="0"/>
          <w:sz w:val="24"/>
          <w:szCs w:val="24"/>
          <w:shd w:val="clear" w:color="auto" w:fill="FFFFFF"/>
        </w:rPr>
        <w:t>Marion VALARCHER (Université de Tours</w:t>
      </w:r>
      <w:r w:rsidR="00CF7CBD">
        <w:rPr>
          <w:rFonts w:ascii="Atkinson Hyperlegible" w:eastAsia="Arial" w:hAnsi="Atkinson Hyperlegible" w:cs="Arial"/>
          <w:color w:val="000000"/>
          <w:spacing w:val="0"/>
          <w:sz w:val="24"/>
          <w:szCs w:val="24"/>
          <w:shd w:val="clear" w:color="auto" w:fill="FFFFFF"/>
        </w:rPr>
        <w:t>, CITERES</w:t>
      </w:r>
      <w:r w:rsidRPr="00AB5BC3">
        <w:rPr>
          <w:rFonts w:ascii="Atkinson Hyperlegible" w:eastAsia="Arial" w:hAnsi="Atkinson Hyperlegible" w:cs="Arial"/>
          <w:color w:val="000000"/>
          <w:spacing w:val="0"/>
          <w:sz w:val="24"/>
          <w:szCs w:val="24"/>
          <w:shd w:val="clear" w:color="auto" w:fill="FFFFFF"/>
        </w:rPr>
        <w:t>)</w:t>
      </w:r>
    </w:p>
    <w:p w14:paraId="794D508A" w14:textId="77777777" w:rsidR="00F323B3" w:rsidRPr="00AB5BC3" w:rsidRDefault="00F323B3">
      <w:pPr>
        <w:spacing w:after="0"/>
        <w:rPr>
          <w:rFonts w:ascii="Atkinson Hyperlegible" w:eastAsia="Arial" w:hAnsi="Atkinson Hyperlegible" w:cs="Arial"/>
          <w:sz w:val="24"/>
          <w:szCs w:val="24"/>
        </w:rPr>
      </w:pPr>
    </w:p>
    <w:p w14:paraId="2617C2D5" w14:textId="77777777" w:rsidR="00F323B3" w:rsidRPr="00AB5BC3" w:rsidRDefault="00B01643">
      <w:pPr>
        <w:spacing w:after="0"/>
        <w:rPr>
          <w:rFonts w:ascii="Atkinson Hyperlegible" w:eastAsia="Arial" w:hAnsi="Atkinson Hyperlegible" w:cs="Arial"/>
          <w:sz w:val="24"/>
          <w:szCs w:val="24"/>
        </w:rPr>
      </w:pPr>
      <w:r w:rsidRPr="00AB5BC3">
        <w:rPr>
          <w:rFonts w:ascii="Atkinson Hyperlegible" w:eastAsia="Arial" w:hAnsi="Atkinson Hyperlegible" w:cs="Arial"/>
          <w:sz w:val="24"/>
          <w:szCs w:val="24"/>
        </w:rPr>
        <w:t xml:space="preserve">Pour toute information vous pouvez nous contacter à l’adresse </w:t>
      </w:r>
      <w:r w:rsidRPr="007D1EC6">
        <w:rPr>
          <w:rFonts w:eastAsia="Arial" w:cs="Arial"/>
        </w:rPr>
        <w:fldChar w:fldCharType="begin"/>
      </w:r>
      <w:r w:rsidR="007D1EC6">
        <w:rPr>
          <w:rFonts w:ascii="Atkinson Hyperlegible" w:eastAsia="Arial" w:hAnsi="Atkinson Hyperlegible" w:cs="Arial"/>
          <w:sz w:val="24"/>
          <w:szCs w:val="24"/>
        </w:rPr>
        <w:instrText>HYPERLINK "mailto:donnees-admin@sciencesconf.org" \t "_blank"</w:instrText>
      </w:r>
      <w:r w:rsidRPr="007D1EC6">
        <w:rPr>
          <w:rFonts w:eastAsia="Arial" w:cs="Arial"/>
        </w:rPr>
        <w:fldChar w:fldCharType="separate"/>
      </w:r>
      <w:r w:rsidRPr="00AB5BC3">
        <w:rPr>
          <w:rFonts w:ascii="Atkinson Hyperlegible" w:eastAsia="Arial" w:hAnsi="Atkinson Hyperlegible" w:cs="Arial"/>
          <w:sz w:val="24"/>
          <w:szCs w:val="24"/>
        </w:rPr>
        <w:t>: </w:t>
      </w:r>
    </w:p>
    <w:p w14:paraId="789A333A" w14:textId="77777777" w:rsidR="00F323B3" w:rsidRPr="007D1EC6" w:rsidRDefault="00B01643">
      <w:pPr>
        <w:spacing w:after="0"/>
        <w:rPr>
          <w:rStyle w:val="Lienhypertexte"/>
          <w:rFonts w:ascii="Atkinson Hyperlegible" w:eastAsia="Arial" w:hAnsi="Atkinson Hyperlegible" w:cs="Arial"/>
          <w:sz w:val="24"/>
          <w:szCs w:val="24"/>
          <w:shd w:val="clear" w:color="auto" w:fill="FFFFFF"/>
        </w:rPr>
      </w:pPr>
      <w:r w:rsidRPr="007D1EC6">
        <w:rPr>
          <w:rStyle w:val="Lienhypertexte"/>
          <w:rFonts w:ascii="Atkinson Hyperlegible" w:hAnsi="Atkinson Hyperlegible"/>
          <w:sz w:val="24"/>
          <w:szCs w:val="24"/>
          <w:shd w:val="clear" w:color="auto" w:fill="FFFFFF"/>
        </w:rPr>
        <w:t>donnees-admin@sciencesconf.org</w:t>
      </w:r>
      <w:r w:rsidRPr="007D1EC6">
        <w:rPr>
          <w:rStyle w:val="Lienhypertexte"/>
          <w:rFonts w:ascii="Atkinson Hyperlegible" w:hAnsi="Atkinson Hyperlegible"/>
          <w:sz w:val="24"/>
          <w:szCs w:val="24"/>
          <w:shd w:val="clear" w:color="auto" w:fill="FFFFFF"/>
        </w:rPr>
        <w:fldChar w:fldCharType="end"/>
      </w:r>
    </w:p>
    <w:p w14:paraId="4EAC2DB5" w14:textId="77777777" w:rsidR="00F323B3" w:rsidRPr="00AB5BC3" w:rsidRDefault="00B01643">
      <w:pPr>
        <w:pStyle w:val="Titre1"/>
        <w:rPr>
          <w:rFonts w:ascii="Atkinson Hyperlegible" w:hAnsi="Atkinson Hyperlegible"/>
        </w:rPr>
      </w:pPr>
      <w:bookmarkStart w:id="5" w:name="_Toc224647860"/>
      <w:r w:rsidRPr="00AB5BC3">
        <w:rPr>
          <w:rFonts w:ascii="Atkinson Hyperlegible" w:hAnsi="Atkinson Hyperlegible"/>
        </w:rPr>
        <w:t>Références bibliographiques</w:t>
      </w:r>
      <w:bookmarkEnd w:id="5"/>
      <w:r w:rsidRPr="00AB5BC3">
        <w:rPr>
          <w:rFonts w:ascii="Atkinson Hyperlegible" w:hAnsi="Atkinson Hyperlegible"/>
        </w:rPr>
        <w:t xml:space="preserve"> </w:t>
      </w:r>
    </w:p>
    <w:p w14:paraId="3E62597D" w14:textId="77777777" w:rsidR="00F323B3" w:rsidRPr="00AB5BC3" w:rsidRDefault="00B01643">
      <w:pPr>
        <w:spacing w:after="240" w:line="240" w:lineRule="auto"/>
        <w:rPr>
          <w:rFonts w:ascii="Atkinson Hyperlegible" w:hAnsi="Atkinson Hyperlegible"/>
          <w:color w:val="000000" w:themeColor="text1"/>
        </w:rPr>
      </w:pPr>
      <w:proofErr w:type="spellStart"/>
      <w:r w:rsidRPr="00AB5BC3">
        <w:rPr>
          <w:rFonts w:ascii="Atkinson Hyperlegible" w:eastAsia="Arial" w:hAnsi="Atkinson Hyperlegible" w:cs="Arial"/>
          <w:color w:val="000000" w:themeColor="text1"/>
          <w:sz w:val="24"/>
          <w:szCs w:val="24"/>
          <w:shd w:val="clear" w:color="auto" w:fill="FFFFFF"/>
        </w:rPr>
        <w:t>Bastin</w:t>
      </w:r>
      <w:proofErr w:type="spellEnd"/>
      <w:r w:rsidRPr="00AB5BC3">
        <w:rPr>
          <w:rFonts w:ascii="Atkinson Hyperlegible" w:eastAsia="Arial" w:hAnsi="Atkinson Hyperlegible" w:cs="Arial"/>
          <w:color w:val="000000" w:themeColor="text1"/>
          <w:sz w:val="24"/>
          <w:szCs w:val="24"/>
          <w:shd w:val="clear" w:color="auto" w:fill="FFFFFF"/>
        </w:rPr>
        <w:t xml:space="preserve">, Gilles et Paola </w:t>
      </w:r>
      <w:proofErr w:type="spellStart"/>
      <w:r w:rsidRPr="00AB5BC3">
        <w:rPr>
          <w:rFonts w:ascii="Atkinson Hyperlegible" w:eastAsia="Arial" w:hAnsi="Atkinson Hyperlegible" w:cs="Arial"/>
          <w:color w:val="000000" w:themeColor="text1"/>
          <w:sz w:val="24"/>
          <w:szCs w:val="24"/>
          <w:shd w:val="clear" w:color="auto" w:fill="FFFFFF"/>
        </w:rPr>
        <w:t>Tubaro</w:t>
      </w:r>
      <w:proofErr w:type="spellEnd"/>
      <w:r w:rsidRPr="00AB5BC3">
        <w:rPr>
          <w:rFonts w:ascii="Atkinson Hyperlegible" w:eastAsia="Arial" w:hAnsi="Atkinson Hyperlegible" w:cs="Arial"/>
          <w:color w:val="000000" w:themeColor="text1"/>
          <w:sz w:val="24"/>
          <w:szCs w:val="24"/>
          <w:shd w:val="clear" w:color="auto" w:fill="FFFFFF"/>
        </w:rPr>
        <w:t>. « Le moment big data des sciences sociales »,</w:t>
      </w:r>
      <w:r w:rsidRPr="00AB5BC3">
        <w:rPr>
          <w:rFonts w:ascii="Atkinson Hyperlegible" w:eastAsia="Arial" w:hAnsi="Atkinson Hyperlegible" w:cs="Arial"/>
          <w:i/>
          <w:color w:val="000000" w:themeColor="text1"/>
          <w:sz w:val="24"/>
          <w:szCs w:val="24"/>
          <w:shd w:val="clear" w:color="auto" w:fill="FFFFFF"/>
        </w:rPr>
        <w:t xml:space="preserve"> Revue française de sociologie</w:t>
      </w:r>
      <w:r w:rsidRPr="00AB5BC3">
        <w:rPr>
          <w:rFonts w:ascii="Atkinson Hyperlegible" w:eastAsia="Arial" w:hAnsi="Atkinson Hyperlegible" w:cs="Arial"/>
          <w:color w:val="000000" w:themeColor="text1"/>
          <w:sz w:val="24"/>
          <w:szCs w:val="24"/>
          <w:shd w:val="clear" w:color="auto" w:fill="FFFFFF"/>
        </w:rPr>
        <w:t>. 2018, vol.59 no 3. p. 375</w:t>
      </w:r>
      <w:r w:rsidRPr="00AB5BC3">
        <w:rPr>
          <w:rFonts w:ascii="Atkinson Hyperlegible" w:eastAsia="Arial" w:hAnsi="Atkinson Hyperlegible" w:cs="Arial"/>
          <w:color w:val="000000" w:themeColor="text1"/>
          <w:sz w:val="24"/>
          <w:szCs w:val="24"/>
          <w:shd w:val="clear" w:color="auto" w:fill="FFFFFF"/>
        </w:rPr>
        <w:noBreakHyphen/>
        <w:t>394.</w:t>
      </w:r>
    </w:p>
    <w:p w14:paraId="5E0FD6FE" w14:textId="7736A9D6" w:rsidR="00F323B3" w:rsidRPr="00AB5BC3" w:rsidRDefault="00B01643">
      <w:pPr>
        <w:tabs>
          <w:tab w:val="left" w:pos="6520"/>
        </w:tabs>
        <w:spacing w:after="240" w:line="240" w:lineRule="auto"/>
        <w:jc w:val="both"/>
        <w:rPr>
          <w:rFonts w:ascii="Atkinson Hyperlegible" w:hAnsi="Atkinson Hyperlegible"/>
          <w:color w:val="000000" w:themeColor="text1"/>
        </w:rPr>
      </w:pPr>
      <w:r w:rsidRPr="00AB5BC3">
        <w:rPr>
          <w:rFonts w:ascii="Atkinson Hyperlegible" w:eastAsia="Arial" w:hAnsi="Atkinson Hyperlegible" w:cs="Arial"/>
          <w:color w:val="000000" w:themeColor="text1"/>
          <w:sz w:val="24"/>
          <w:szCs w:val="24"/>
          <w:shd w:val="clear" w:color="auto" w:fill="FFFFFF"/>
        </w:rPr>
        <w:t xml:space="preserve">Becker, Howard S. « Données administratives » </w:t>
      </w:r>
      <w:r w:rsidRPr="00AB5BC3">
        <w:rPr>
          <w:rFonts w:ascii="Atkinson Hyperlegible" w:eastAsia="Arial" w:hAnsi="Atkinson Hyperlegible" w:cs="Arial"/>
          <w:i/>
          <w:color w:val="000000" w:themeColor="text1"/>
          <w:sz w:val="24"/>
          <w:szCs w:val="24"/>
          <w:shd w:val="clear" w:color="auto" w:fill="FFFFFF"/>
        </w:rPr>
        <w:t>Faire preuve</w:t>
      </w:r>
      <w:r w:rsidRPr="00AB5BC3">
        <w:rPr>
          <w:rFonts w:ascii="Atkinson Hyperlegible" w:eastAsia="Arial" w:hAnsi="Atkinson Hyperlegible" w:cs="Arial"/>
          <w:color w:val="000000" w:themeColor="text1"/>
          <w:sz w:val="24"/>
          <w:szCs w:val="24"/>
          <w:shd w:val="clear" w:color="auto" w:fill="FFFFFF"/>
        </w:rPr>
        <w:t>. Paris : La Découverte. 2020, p.</w:t>
      </w:r>
      <w:r w:rsidR="006620CA">
        <w:rPr>
          <w:rFonts w:ascii="Atkinson Hyperlegible" w:eastAsia="Arial" w:hAnsi="Atkinson Hyperlegible" w:cs="Arial"/>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137</w:t>
      </w:r>
      <w:r w:rsidRPr="00AB5BC3">
        <w:rPr>
          <w:rFonts w:ascii="Atkinson Hyperlegible" w:eastAsia="Arial" w:hAnsi="Atkinson Hyperlegible" w:cs="Arial"/>
          <w:color w:val="000000" w:themeColor="text1"/>
          <w:sz w:val="24"/>
          <w:szCs w:val="24"/>
          <w:shd w:val="clear" w:color="auto" w:fill="FFFFFF"/>
        </w:rPr>
        <w:noBreakHyphen/>
        <w:t>174. (Repères).</w:t>
      </w:r>
    </w:p>
    <w:p w14:paraId="20B7AC29" w14:textId="0D626533" w:rsidR="00F323B3" w:rsidRPr="00AB5BC3" w:rsidRDefault="00B01643">
      <w:pPr>
        <w:tabs>
          <w:tab w:val="left" w:pos="6520"/>
        </w:tabs>
        <w:spacing w:after="240" w:line="240" w:lineRule="auto"/>
        <w:jc w:val="both"/>
        <w:rPr>
          <w:rFonts w:ascii="Atkinson Hyperlegible" w:eastAsia="Arial" w:hAnsi="Atkinson Hyperlegible" w:cs="Arial"/>
          <w:color w:val="000000" w:themeColor="text1"/>
          <w:sz w:val="24"/>
          <w:szCs w:val="24"/>
          <w:shd w:val="clear" w:color="auto" w:fill="FFFFFF"/>
        </w:rPr>
      </w:pPr>
      <w:proofErr w:type="spellStart"/>
      <w:r w:rsidRPr="00AB5BC3">
        <w:rPr>
          <w:rFonts w:ascii="Atkinson Hyperlegible" w:eastAsia="Arial" w:hAnsi="Atkinson Hyperlegible" w:cs="Arial"/>
          <w:color w:val="000000" w:themeColor="text1"/>
          <w:sz w:val="24"/>
          <w:szCs w:val="24"/>
          <w:shd w:val="clear" w:color="auto" w:fill="FFFFFF"/>
        </w:rPr>
        <w:t>Béliard</w:t>
      </w:r>
      <w:proofErr w:type="spellEnd"/>
      <w:r w:rsidRPr="00AB5BC3">
        <w:rPr>
          <w:rFonts w:ascii="Atkinson Hyperlegible" w:eastAsia="Arial" w:hAnsi="Atkinson Hyperlegible" w:cs="Arial"/>
          <w:color w:val="000000" w:themeColor="text1"/>
          <w:sz w:val="24"/>
          <w:szCs w:val="24"/>
          <w:shd w:val="clear" w:color="auto" w:fill="FFFFFF"/>
        </w:rPr>
        <w:t xml:space="preserve">, Aude et Émilie </w:t>
      </w:r>
      <w:proofErr w:type="spellStart"/>
      <w:r w:rsidRPr="00AB5BC3">
        <w:rPr>
          <w:rFonts w:ascii="Atkinson Hyperlegible" w:eastAsia="Arial" w:hAnsi="Atkinson Hyperlegible" w:cs="Arial"/>
          <w:color w:val="000000" w:themeColor="text1"/>
          <w:sz w:val="24"/>
          <w:szCs w:val="24"/>
          <w:shd w:val="clear" w:color="auto" w:fill="FFFFFF"/>
        </w:rPr>
        <w:t>Biland</w:t>
      </w:r>
      <w:proofErr w:type="spellEnd"/>
      <w:r w:rsidRPr="00AB5BC3">
        <w:rPr>
          <w:rFonts w:ascii="Atkinson Hyperlegible" w:eastAsia="Arial" w:hAnsi="Atkinson Hyperlegible" w:cs="Arial"/>
          <w:color w:val="000000" w:themeColor="text1"/>
          <w:sz w:val="24"/>
          <w:szCs w:val="24"/>
          <w:shd w:val="clear" w:color="auto" w:fill="FFFFFF"/>
        </w:rPr>
        <w:t>. « Enquêter à partir de dossiers personnels.</w:t>
      </w:r>
      <w:r w:rsidR="006620CA">
        <w:rPr>
          <w:rFonts w:ascii="Atkinson Hyperlegible" w:eastAsia="Arial" w:hAnsi="Atkinson Hyperlegible" w:cs="Arial"/>
          <w:color w:val="000000" w:themeColor="text1"/>
          <w:sz w:val="24"/>
          <w:szCs w:val="24"/>
          <w:shd w:val="clear" w:color="auto" w:fill="FFFFFF"/>
        </w:rPr>
        <w:t xml:space="preserve"> </w:t>
      </w:r>
      <w:r w:rsidRPr="00AB5BC3">
        <w:rPr>
          <w:rFonts w:ascii="Atkinson Hyperlegible" w:eastAsia="Arial" w:hAnsi="Atkinson Hyperlegible" w:cs="Arial"/>
          <w:color w:val="000000" w:themeColor="text1"/>
          <w:sz w:val="24"/>
          <w:szCs w:val="24"/>
          <w:shd w:val="clear" w:color="auto" w:fill="FFFFFF"/>
        </w:rPr>
        <w:t xml:space="preserve">Une ethnographie des relations entre institutions et individus », </w:t>
      </w:r>
      <w:r w:rsidRPr="00AB5BC3">
        <w:rPr>
          <w:rFonts w:ascii="Atkinson Hyperlegible" w:eastAsia="Arial" w:hAnsi="Atkinson Hyperlegible" w:cs="Arial"/>
          <w:i/>
          <w:color w:val="000000" w:themeColor="text1"/>
          <w:sz w:val="24"/>
          <w:szCs w:val="24"/>
          <w:shd w:val="clear" w:color="auto" w:fill="FFFFFF"/>
        </w:rPr>
        <w:t>Genèses</w:t>
      </w:r>
      <w:r w:rsidRPr="00AB5BC3">
        <w:rPr>
          <w:rFonts w:ascii="Atkinson Hyperlegible" w:eastAsia="Arial" w:hAnsi="Atkinson Hyperlegible" w:cs="Arial"/>
          <w:color w:val="000000" w:themeColor="text1"/>
          <w:sz w:val="24"/>
          <w:szCs w:val="24"/>
          <w:shd w:val="clear" w:color="auto" w:fill="FFFFFF"/>
        </w:rPr>
        <w:t>. 2008, vol.70 no 1. p. 106</w:t>
      </w:r>
      <w:r w:rsidRPr="00AB5BC3">
        <w:rPr>
          <w:rFonts w:ascii="Atkinson Hyperlegible" w:eastAsia="Arial" w:hAnsi="Atkinson Hyperlegible" w:cs="Arial"/>
          <w:color w:val="000000" w:themeColor="text1"/>
          <w:sz w:val="24"/>
          <w:szCs w:val="24"/>
          <w:shd w:val="clear" w:color="auto" w:fill="FFFFFF"/>
        </w:rPr>
        <w:noBreakHyphen/>
        <w:t>119.</w:t>
      </w:r>
    </w:p>
    <w:p w14:paraId="41546B39" w14:textId="77777777" w:rsidR="00F323B3" w:rsidRPr="00AB5BC3" w:rsidRDefault="00B01643">
      <w:pPr>
        <w:spacing w:after="240" w:line="240" w:lineRule="auto"/>
        <w:jc w:val="both"/>
        <w:rPr>
          <w:rFonts w:ascii="Atkinson Hyperlegible" w:hAnsi="Atkinson Hyperlegible" w:cs="Arial"/>
          <w:color w:val="000000" w:themeColor="text1"/>
          <w:sz w:val="24"/>
          <w:szCs w:val="24"/>
        </w:rPr>
      </w:pPr>
      <w:proofErr w:type="spellStart"/>
      <w:r w:rsidRPr="00AB5BC3">
        <w:rPr>
          <w:rFonts w:ascii="Atkinson Hyperlegible" w:hAnsi="Atkinson Hyperlegible" w:cs="Arial"/>
          <w:color w:val="000000" w:themeColor="text1"/>
          <w:sz w:val="24"/>
          <w:szCs w:val="24"/>
        </w:rPr>
        <w:t>Bessière</w:t>
      </w:r>
      <w:proofErr w:type="spellEnd"/>
      <w:r w:rsidRPr="00AB5BC3">
        <w:rPr>
          <w:rFonts w:ascii="Atkinson Hyperlegible" w:hAnsi="Atkinson Hyperlegible" w:cs="Arial"/>
          <w:color w:val="000000" w:themeColor="text1"/>
          <w:sz w:val="24"/>
          <w:szCs w:val="24"/>
        </w:rPr>
        <w:t xml:space="preserve">, Céline, et Frédérique Houseaux. « Suivre des enquêteurs ». </w:t>
      </w:r>
      <w:r w:rsidRPr="00AB5BC3">
        <w:rPr>
          <w:rFonts w:ascii="Atkinson Hyperlegible" w:hAnsi="Atkinson Hyperlegible" w:cs="Arial"/>
          <w:i/>
          <w:iCs/>
          <w:color w:val="000000" w:themeColor="text1"/>
          <w:sz w:val="24"/>
          <w:szCs w:val="24"/>
        </w:rPr>
        <w:t>Genèses. Sciences sociales et histoire</w:t>
      </w:r>
      <w:r w:rsidRPr="00AB5BC3">
        <w:rPr>
          <w:rFonts w:ascii="Atkinson Hyperlegible" w:hAnsi="Atkinson Hyperlegible" w:cs="Arial"/>
          <w:color w:val="000000" w:themeColor="text1"/>
          <w:sz w:val="24"/>
          <w:szCs w:val="24"/>
        </w:rPr>
        <w:t>. 1997, vol. 29, n</w:t>
      </w:r>
      <w:r w:rsidRPr="00AB5BC3">
        <w:rPr>
          <w:rFonts w:ascii="Atkinson Hyperlegible" w:hAnsi="Atkinson Hyperlegible" w:cs="Arial"/>
          <w:color w:val="000000" w:themeColor="text1"/>
          <w:sz w:val="24"/>
          <w:szCs w:val="24"/>
          <w:vertAlign w:val="superscript"/>
        </w:rPr>
        <w:t>o</w:t>
      </w:r>
      <w:r w:rsidRPr="00AB5BC3">
        <w:rPr>
          <w:rFonts w:ascii="Atkinson Hyperlegible" w:hAnsi="Atkinson Hyperlegible" w:cs="Arial"/>
          <w:color w:val="000000" w:themeColor="text1"/>
          <w:sz w:val="24"/>
          <w:szCs w:val="24"/>
        </w:rPr>
        <w:t xml:space="preserve"> 1, p. 100</w:t>
      </w:r>
      <w:r w:rsidRPr="00AB5BC3">
        <w:rPr>
          <w:rFonts w:ascii="Atkinson Hyperlegible" w:hAnsi="Atkinson Hyperlegible" w:cs="Arial"/>
          <w:color w:val="000000" w:themeColor="text1"/>
          <w:sz w:val="24"/>
          <w:szCs w:val="24"/>
        </w:rPr>
        <w:noBreakHyphen/>
        <w:t xml:space="preserve">14. </w:t>
      </w:r>
    </w:p>
    <w:p w14:paraId="5EA24ABD" w14:textId="77777777" w:rsidR="00F323B3" w:rsidRPr="00AB5BC3" w:rsidRDefault="00B01643">
      <w:pPr>
        <w:tabs>
          <w:tab w:val="left" w:pos="6520"/>
        </w:tabs>
        <w:spacing w:after="240" w:line="240" w:lineRule="auto"/>
        <w:jc w:val="both"/>
        <w:rPr>
          <w:rFonts w:ascii="Atkinson Hyperlegible" w:hAnsi="Atkinson Hyperlegible"/>
          <w:color w:val="000000" w:themeColor="text1"/>
        </w:rPr>
      </w:pPr>
      <w:r w:rsidRPr="00AB5BC3">
        <w:rPr>
          <w:rFonts w:ascii="Atkinson Hyperlegible" w:eastAsia="Arial" w:hAnsi="Atkinson Hyperlegible" w:cs="Arial"/>
          <w:color w:val="000000" w:themeColor="text1"/>
          <w:sz w:val="24"/>
          <w:szCs w:val="24"/>
          <w:shd w:val="clear" w:color="auto" w:fill="FFFFFF"/>
        </w:rPr>
        <w:t>Cayouette-</w:t>
      </w:r>
      <w:proofErr w:type="spellStart"/>
      <w:r w:rsidRPr="00AB5BC3">
        <w:rPr>
          <w:rFonts w:ascii="Atkinson Hyperlegible" w:eastAsia="Arial" w:hAnsi="Atkinson Hyperlegible" w:cs="Arial"/>
          <w:color w:val="000000" w:themeColor="text1"/>
          <w:sz w:val="24"/>
          <w:szCs w:val="24"/>
          <w:shd w:val="clear" w:color="auto" w:fill="FFFFFF"/>
        </w:rPr>
        <w:t>Remblière</w:t>
      </w:r>
      <w:proofErr w:type="spellEnd"/>
      <w:r w:rsidRPr="00AB5BC3">
        <w:rPr>
          <w:rFonts w:ascii="Atkinson Hyperlegible" w:eastAsia="Arial" w:hAnsi="Atkinson Hyperlegible" w:cs="Arial"/>
          <w:color w:val="000000" w:themeColor="text1"/>
          <w:sz w:val="24"/>
          <w:szCs w:val="24"/>
          <w:shd w:val="clear" w:color="auto" w:fill="FFFFFF"/>
        </w:rPr>
        <w:t xml:space="preserve">, Joanie. </w:t>
      </w:r>
      <w:r w:rsidRPr="00AB5BC3">
        <w:rPr>
          <w:rFonts w:ascii="Atkinson Hyperlegible" w:eastAsia="Arial" w:hAnsi="Atkinson Hyperlegible" w:cs="Arial"/>
          <w:i/>
          <w:color w:val="000000" w:themeColor="text1"/>
          <w:sz w:val="24"/>
          <w:szCs w:val="24"/>
          <w:shd w:val="clear" w:color="auto" w:fill="FFFFFF"/>
        </w:rPr>
        <w:t>L’école qui classe. 530 élèves du primaire au bac</w:t>
      </w:r>
      <w:r w:rsidRPr="00AB5BC3">
        <w:rPr>
          <w:rFonts w:ascii="Atkinson Hyperlegible" w:eastAsia="Arial" w:hAnsi="Atkinson Hyperlegible" w:cs="Arial"/>
          <w:color w:val="000000" w:themeColor="text1"/>
          <w:sz w:val="24"/>
          <w:szCs w:val="24"/>
          <w:shd w:val="clear" w:color="auto" w:fill="FFFFFF"/>
        </w:rPr>
        <w:t>. Paris : Presses Universitaires de France. 2016. 312 p. (Le Lien social).</w:t>
      </w:r>
    </w:p>
    <w:p w14:paraId="131A171E" w14:textId="77777777" w:rsidR="00F323B3" w:rsidRPr="00AB5BC3" w:rsidRDefault="00B01643">
      <w:pPr>
        <w:tabs>
          <w:tab w:val="left" w:pos="6520"/>
        </w:tabs>
        <w:spacing w:after="240" w:line="240" w:lineRule="auto"/>
        <w:jc w:val="both"/>
        <w:rPr>
          <w:rFonts w:ascii="Atkinson Hyperlegible" w:hAnsi="Atkinson Hyperlegible"/>
          <w:color w:val="000000" w:themeColor="text1"/>
        </w:rPr>
      </w:pPr>
      <w:r w:rsidRPr="00AB5BC3">
        <w:rPr>
          <w:rFonts w:ascii="Atkinson Hyperlegible" w:eastAsia="Arial" w:hAnsi="Atkinson Hyperlegible" w:cs="Arial"/>
          <w:color w:val="000000" w:themeColor="text1"/>
          <w:sz w:val="24"/>
          <w:szCs w:val="24"/>
          <w:shd w:val="clear" w:color="auto" w:fill="FFFFFF"/>
        </w:rPr>
        <w:t xml:space="preserve">Conseil national de l’information statistique (CNIS). </w:t>
      </w:r>
      <w:r w:rsidRPr="00AB5BC3">
        <w:rPr>
          <w:rFonts w:ascii="Atkinson Hyperlegible" w:eastAsia="Arial" w:hAnsi="Atkinson Hyperlegible" w:cs="Arial"/>
          <w:i/>
          <w:color w:val="000000" w:themeColor="text1"/>
          <w:sz w:val="24"/>
          <w:szCs w:val="24"/>
          <w:shd w:val="clear" w:color="auto" w:fill="FFFFFF"/>
        </w:rPr>
        <w:t>L’accès des chercheurs aux données administratives. État des lieux et propositions d’actions</w:t>
      </w:r>
      <w:r w:rsidRPr="00AB5BC3">
        <w:rPr>
          <w:rFonts w:ascii="Atkinson Hyperlegible" w:eastAsia="Arial" w:hAnsi="Atkinson Hyperlegible" w:cs="Arial"/>
          <w:color w:val="000000" w:themeColor="text1"/>
          <w:sz w:val="24"/>
          <w:szCs w:val="24"/>
          <w:shd w:val="clear" w:color="auto" w:fill="FFFFFF"/>
        </w:rPr>
        <w:t>. Rapport 147. Conseil national de l’information statistique. 2017.</w:t>
      </w:r>
    </w:p>
    <w:p w14:paraId="6AF5A74C" w14:textId="77777777" w:rsidR="00F323B3" w:rsidRPr="00AB5BC3" w:rsidRDefault="00B01643">
      <w:pPr>
        <w:tabs>
          <w:tab w:val="left" w:pos="6520"/>
        </w:tabs>
        <w:spacing w:after="240" w:line="240" w:lineRule="auto"/>
        <w:jc w:val="both"/>
        <w:rPr>
          <w:rFonts w:ascii="Atkinson Hyperlegible" w:eastAsia="Arial" w:hAnsi="Atkinson Hyperlegible" w:cs="Arial"/>
          <w:color w:val="000000" w:themeColor="text1"/>
          <w:sz w:val="24"/>
          <w:szCs w:val="24"/>
        </w:rPr>
      </w:pPr>
      <w:proofErr w:type="spellStart"/>
      <w:r w:rsidRPr="00AB5BC3">
        <w:rPr>
          <w:rFonts w:ascii="Atkinson Hyperlegible" w:eastAsia="Arial" w:hAnsi="Atkinson Hyperlegible" w:cs="Arial"/>
          <w:color w:val="000000" w:themeColor="text1"/>
          <w:sz w:val="24"/>
          <w:szCs w:val="24"/>
          <w:shd w:val="clear" w:color="auto" w:fill="FFFFFF"/>
        </w:rPr>
        <w:t>Couto</w:t>
      </w:r>
      <w:proofErr w:type="spellEnd"/>
      <w:r w:rsidRPr="00AB5BC3">
        <w:rPr>
          <w:rFonts w:ascii="Atkinson Hyperlegible" w:eastAsia="Arial" w:hAnsi="Atkinson Hyperlegible" w:cs="Arial"/>
          <w:color w:val="000000" w:themeColor="text1"/>
          <w:sz w:val="24"/>
          <w:szCs w:val="24"/>
          <w:shd w:val="clear" w:color="auto" w:fill="FFFFFF"/>
        </w:rPr>
        <w:t>, Marie-Paule. «</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Naturels</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 ou «</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naturalisés</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 xml:space="preserve">? Le travail d’identification des rapatriés d’Algérie par l’État et ses effets sur la recherche en sciences sociales », </w:t>
      </w:r>
      <w:r w:rsidRPr="00AB5BC3">
        <w:rPr>
          <w:rFonts w:ascii="Atkinson Hyperlegible" w:eastAsia="Arial" w:hAnsi="Atkinson Hyperlegible" w:cs="Arial"/>
          <w:i/>
          <w:color w:val="000000" w:themeColor="text1"/>
          <w:sz w:val="24"/>
          <w:szCs w:val="24"/>
          <w:shd w:val="clear" w:color="auto" w:fill="FFFFFF"/>
        </w:rPr>
        <w:t>Sociologie</w:t>
      </w:r>
      <w:r w:rsidRPr="00AB5BC3">
        <w:rPr>
          <w:rFonts w:ascii="Atkinson Hyperlegible" w:eastAsia="Arial" w:hAnsi="Atkinson Hyperlegible" w:cs="Arial"/>
          <w:color w:val="000000" w:themeColor="text1"/>
          <w:sz w:val="24"/>
          <w:szCs w:val="24"/>
          <w:shd w:val="clear" w:color="auto" w:fill="FFFFFF"/>
        </w:rPr>
        <w:t>. 2023, vol.14 no 1. p. 49</w:t>
      </w:r>
      <w:r w:rsidRPr="00AB5BC3">
        <w:rPr>
          <w:rFonts w:ascii="Atkinson Hyperlegible" w:eastAsia="Arial" w:hAnsi="Atkinson Hyperlegible" w:cs="Arial"/>
          <w:color w:val="000000" w:themeColor="text1"/>
          <w:sz w:val="24"/>
          <w:szCs w:val="24"/>
          <w:shd w:val="clear" w:color="auto" w:fill="FFFFFF"/>
        </w:rPr>
        <w:noBreakHyphen/>
        <w:t>70.</w:t>
      </w:r>
    </w:p>
    <w:p w14:paraId="6D2000CC" w14:textId="77777777" w:rsidR="00F323B3" w:rsidRPr="00AB5BC3" w:rsidRDefault="00B01643">
      <w:pPr>
        <w:tabs>
          <w:tab w:val="left" w:pos="6520"/>
        </w:tabs>
        <w:spacing w:after="240" w:line="240" w:lineRule="auto"/>
        <w:jc w:val="both"/>
        <w:rPr>
          <w:rFonts w:ascii="Atkinson Hyperlegible" w:hAnsi="Atkinson Hyperlegible"/>
        </w:rPr>
      </w:pPr>
      <w:r w:rsidRPr="00AB5BC3">
        <w:rPr>
          <w:rFonts w:ascii="Atkinson Hyperlegible" w:eastAsia="Arial" w:hAnsi="Atkinson Hyperlegible" w:cs="Arial"/>
          <w:color w:val="000000" w:themeColor="text1"/>
          <w:sz w:val="24"/>
          <w:szCs w:val="24"/>
          <w:shd w:val="clear" w:color="auto" w:fill="FFFFFF"/>
        </w:rPr>
        <w:t xml:space="preserve">Denis, Jérôme et </w:t>
      </w:r>
      <w:proofErr w:type="spellStart"/>
      <w:r w:rsidRPr="00AB5BC3">
        <w:rPr>
          <w:rFonts w:ascii="Atkinson Hyperlegible" w:eastAsia="Arial" w:hAnsi="Atkinson Hyperlegible" w:cs="Arial"/>
          <w:color w:val="000000" w:themeColor="text1"/>
          <w:sz w:val="24"/>
          <w:szCs w:val="24"/>
          <w:shd w:val="clear" w:color="auto" w:fill="FFFFFF"/>
        </w:rPr>
        <w:t>Goëta</w:t>
      </w:r>
      <w:proofErr w:type="spellEnd"/>
      <w:r w:rsidRPr="00AB5BC3">
        <w:rPr>
          <w:rFonts w:ascii="Atkinson Hyperlegible" w:eastAsia="Arial" w:hAnsi="Atkinson Hyperlegible" w:cs="Arial"/>
          <w:color w:val="000000" w:themeColor="text1"/>
          <w:sz w:val="24"/>
          <w:szCs w:val="24"/>
          <w:shd w:val="clear" w:color="auto" w:fill="FFFFFF"/>
        </w:rPr>
        <w:t>, Samuel. « La fabrique des données brutes</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 xml:space="preserve">: Le travail en coulisses de l’open data ». In : </w:t>
      </w:r>
      <w:proofErr w:type="spellStart"/>
      <w:r w:rsidRPr="00AB5BC3">
        <w:rPr>
          <w:rFonts w:ascii="Atkinson Hyperlegible" w:eastAsia="Arial" w:hAnsi="Atkinson Hyperlegible" w:cs="Arial"/>
          <w:color w:val="000000" w:themeColor="text1"/>
          <w:sz w:val="24"/>
          <w:szCs w:val="24"/>
          <w:shd w:val="clear" w:color="auto" w:fill="FFFFFF"/>
        </w:rPr>
        <w:t>Mabi</w:t>
      </w:r>
      <w:proofErr w:type="spellEnd"/>
      <w:r w:rsidRPr="00AB5BC3">
        <w:rPr>
          <w:rFonts w:ascii="Atkinson Hyperlegible" w:eastAsia="Arial" w:hAnsi="Atkinson Hyperlegible" w:cs="Arial"/>
          <w:color w:val="000000" w:themeColor="text1"/>
          <w:sz w:val="24"/>
          <w:szCs w:val="24"/>
          <w:shd w:val="clear" w:color="auto" w:fill="FFFFFF"/>
        </w:rPr>
        <w:t>, Clément, Plantin, Jean-Christophe et Monnoyer-Smith, Laurence (éd.), Ouvrir, partager, réutiliser</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 xml:space="preserve">: Regards critiques sur les données numériques. Paris : Éditions de la Maison des sciences de l’homme. </w:t>
      </w:r>
      <w:proofErr w:type="spellStart"/>
      <w:proofErr w:type="gramStart"/>
      <w:r w:rsidRPr="00AB5BC3">
        <w:rPr>
          <w:rFonts w:ascii="Atkinson Hyperlegible" w:eastAsia="Arial" w:hAnsi="Atkinson Hyperlegible" w:cs="Arial"/>
          <w:color w:val="000000" w:themeColor="text1"/>
          <w:sz w:val="24"/>
          <w:szCs w:val="24"/>
          <w:shd w:val="clear" w:color="auto" w:fill="FFFFFF"/>
        </w:rPr>
        <w:t>faber</w:t>
      </w:r>
      <w:proofErr w:type="spellEnd"/>
      <w:proofErr w:type="gramEnd"/>
      <w:r w:rsidRPr="00AB5BC3">
        <w:rPr>
          <w:rFonts w:ascii="Atkinson Hyperlegible" w:eastAsia="Arial" w:hAnsi="Atkinson Hyperlegible" w:cs="Arial"/>
          <w:color w:val="000000" w:themeColor="text1"/>
          <w:sz w:val="24"/>
          <w:szCs w:val="24"/>
          <w:shd w:val="clear" w:color="auto" w:fill="FFFFFF"/>
        </w:rPr>
        <w:t xml:space="preserve">. 2017, ISBN 978-2-7351-2386-5. </w:t>
      </w:r>
    </w:p>
    <w:p w14:paraId="7FCB8B6A" w14:textId="77777777" w:rsidR="00F323B3" w:rsidRPr="00AB5BC3" w:rsidRDefault="00B01643">
      <w:pPr>
        <w:tabs>
          <w:tab w:val="left" w:pos="6520"/>
        </w:tabs>
        <w:spacing w:after="240" w:line="240" w:lineRule="auto"/>
        <w:jc w:val="both"/>
        <w:rPr>
          <w:rFonts w:ascii="Atkinson Hyperlegible" w:hAnsi="Atkinson Hyperlegible"/>
          <w:color w:val="000000" w:themeColor="text1"/>
        </w:rPr>
      </w:pPr>
      <w:proofErr w:type="spellStart"/>
      <w:r w:rsidRPr="00AB5BC3">
        <w:rPr>
          <w:rFonts w:ascii="Atkinson Hyperlegible" w:eastAsia="Arial" w:hAnsi="Atkinson Hyperlegible" w:cs="Arial"/>
          <w:color w:val="000000" w:themeColor="text1"/>
          <w:sz w:val="24"/>
          <w:szCs w:val="24"/>
          <w:shd w:val="clear" w:color="auto" w:fill="FFFFFF"/>
        </w:rPr>
        <w:t>Desrosières</w:t>
      </w:r>
      <w:proofErr w:type="spellEnd"/>
      <w:r w:rsidRPr="00AB5BC3">
        <w:rPr>
          <w:rFonts w:ascii="Atkinson Hyperlegible" w:eastAsia="Arial" w:hAnsi="Atkinson Hyperlegible" w:cs="Arial"/>
          <w:color w:val="000000" w:themeColor="text1"/>
          <w:sz w:val="24"/>
          <w:szCs w:val="24"/>
          <w:shd w:val="clear" w:color="auto" w:fill="FFFFFF"/>
        </w:rPr>
        <w:t xml:space="preserve">, Alain. « Décrire l’État ou explorer la société : les deux sources de la statistique publique », </w:t>
      </w:r>
      <w:r w:rsidRPr="00AB5BC3">
        <w:rPr>
          <w:rFonts w:ascii="Atkinson Hyperlegible" w:eastAsia="Arial" w:hAnsi="Atkinson Hyperlegible" w:cs="Arial"/>
          <w:i/>
          <w:color w:val="000000" w:themeColor="text1"/>
          <w:sz w:val="24"/>
          <w:szCs w:val="24"/>
          <w:shd w:val="clear" w:color="auto" w:fill="FFFFFF"/>
        </w:rPr>
        <w:t>Genèses</w:t>
      </w:r>
      <w:r w:rsidRPr="00AB5BC3">
        <w:rPr>
          <w:rFonts w:ascii="Atkinson Hyperlegible" w:eastAsia="Arial" w:hAnsi="Atkinson Hyperlegible" w:cs="Arial"/>
          <w:color w:val="000000" w:themeColor="text1"/>
          <w:sz w:val="24"/>
          <w:szCs w:val="24"/>
          <w:shd w:val="clear" w:color="auto" w:fill="FFFFFF"/>
        </w:rPr>
        <w:t>. 2005, vol.58 no 1. p. 4</w:t>
      </w:r>
      <w:r w:rsidRPr="00AB5BC3">
        <w:rPr>
          <w:rFonts w:ascii="Atkinson Hyperlegible" w:eastAsia="Arial" w:hAnsi="Atkinson Hyperlegible" w:cs="Arial"/>
          <w:color w:val="000000" w:themeColor="text1"/>
          <w:sz w:val="24"/>
          <w:szCs w:val="24"/>
          <w:shd w:val="clear" w:color="auto" w:fill="FFFFFF"/>
        </w:rPr>
        <w:noBreakHyphen/>
        <w:t>27.</w:t>
      </w:r>
    </w:p>
    <w:p w14:paraId="3EB064B5" w14:textId="77777777" w:rsidR="00F323B3" w:rsidRPr="00AB5BC3" w:rsidRDefault="00B01643">
      <w:pPr>
        <w:tabs>
          <w:tab w:val="left" w:pos="6520"/>
        </w:tabs>
        <w:spacing w:after="240" w:line="240" w:lineRule="auto"/>
        <w:jc w:val="both"/>
        <w:rPr>
          <w:rFonts w:ascii="Atkinson Hyperlegible" w:hAnsi="Atkinson Hyperlegible"/>
          <w:color w:val="000000" w:themeColor="text1"/>
        </w:rPr>
      </w:pPr>
      <w:proofErr w:type="spellStart"/>
      <w:r w:rsidRPr="00AB5BC3">
        <w:rPr>
          <w:rFonts w:ascii="Atkinson Hyperlegible" w:eastAsia="Arial" w:hAnsi="Atkinson Hyperlegible" w:cs="Arial"/>
          <w:color w:val="000000" w:themeColor="text1"/>
          <w:sz w:val="24"/>
          <w:szCs w:val="24"/>
          <w:shd w:val="clear" w:color="auto" w:fill="FFFFFF"/>
        </w:rPr>
        <w:lastRenderedPageBreak/>
        <w:t>Henneguelle</w:t>
      </w:r>
      <w:proofErr w:type="spellEnd"/>
      <w:r w:rsidRPr="00AB5BC3">
        <w:rPr>
          <w:rFonts w:ascii="Atkinson Hyperlegible" w:eastAsia="Arial" w:hAnsi="Atkinson Hyperlegible" w:cs="Arial"/>
          <w:color w:val="000000" w:themeColor="text1"/>
          <w:sz w:val="24"/>
          <w:szCs w:val="24"/>
          <w:shd w:val="clear" w:color="auto" w:fill="FFFFFF"/>
        </w:rPr>
        <w:t xml:space="preserve">, Anaïs. « La fabrique des statistiques pénitentiaires », </w:t>
      </w:r>
      <w:proofErr w:type="spellStart"/>
      <w:r w:rsidRPr="00AB5BC3">
        <w:rPr>
          <w:rFonts w:ascii="Atkinson Hyperlegible" w:eastAsia="Arial" w:hAnsi="Atkinson Hyperlegible" w:cs="Arial"/>
          <w:i/>
          <w:color w:val="000000" w:themeColor="text1"/>
          <w:sz w:val="24"/>
          <w:szCs w:val="24"/>
          <w:shd w:val="clear" w:color="auto" w:fill="FFFFFF"/>
        </w:rPr>
        <w:t>Criminocorpus</w:t>
      </w:r>
      <w:proofErr w:type="spellEnd"/>
      <w:r w:rsidRPr="00AB5BC3">
        <w:rPr>
          <w:rFonts w:ascii="Atkinson Hyperlegible" w:eastAsia="Arial" w:hAnsi="Atkinson Hyperlegible" w:cs="Arial"/>
          <w:i/>
          <w:color w:val="000000" w:themeColor="text1"/>
          <w:sz w:val="24"/>
          <w:szCs w:val="24"/>
          <w:shd w:val="clear" w:color="auto" w:fill="FFFFFF"/>
        </w:rPr>
        <w:t>. Revue d’Histoire de la justice, des crimes et des peines</w:t>
      </w:r>
      <w:r w:rsidRPr="00AB5BC3">
        <w:rPr>
          <w:rFonts w:ascii="Atkinson Hyperlegible" w:eastAsia="Arial" w:hAnsi="Atkinson Hyperlegible" w:cs="Arial"/>
          <w:color w:val="000000" w:themeColor="text1"/>
          <w:sz w:val="24"/>
          <w:szCs w:val="24"/>
          <w:shd w:val="clear" w:color="auto" w:fill="FFFFFF"/>
        </w:rPr>
        <w:t>. 2017, no 8.</w:t>
      </w:r>
    </w:p>
    <w:p w14:paraId="10144FB2" w14:textId="77777777" w:rsidR="00F323B3" w:rsidRPr="00AB5BC3" w:rsidRDefault="00B01643">
      <w:pPr>
        <w:tabs>
          <w:tab w:val="left" w:pos="6520"/>
        </w:tabs>
        <w:spacing w:after="240" w:line="240" w:lineRule="auto"/>
        <w:jc w:val="both"/>
        <w:rPr>
          <w:rFonts w:ascii="Atkinson Hyperlegible" w:eastAsia="Arial" w:hAnsi="Atkinson Hyperlegible" w:cs="Arial"/>
          <w:color w:val="000000" w:themeColor="text1"/>
          <w:sz w:val="24"/>
          <w:szCs w:val="24"/>
          <w:shd w:val="clear" w:color="auto" w:fill="FFFFFF"/>
        </w:rPr>
      </w:pPr>
      <w:r w:rsidRPr="00AB5BC3">
        <w:rPr>
          <w:rFonts w:ascii="Atkinson Hyperlegible" w:eastAsia="Arial" w:hAnsi="Atkinson Hyperlegible" w:cs="Arial"/>
          <w:color w:val="000000" w:themeColor="text1"/>
          <w:sz w:val="24"/>
          <w:szCs w:val="24"/>
          <w:shd w:val="clear" w:color="auto" w:fill="FFFFFF"/>
        </w:rPr>
        <w:t>Institut de statistique de l’UNESCO (UIS). « Données administratives</w:t>
      </w:r>
      <w:r w:rsidRPr="00AB5BC3">
        <w:rPr>
          <w:rFonts w:ascii="Times New Roman" w:eastAsia="Arial" w:hAnsi="Times New Roman" w:cs="Times New Roman"/>
          <w:color w:val="000000" w:themeColor="text1"/>
          <w:sz w:val="24"/>
          <w:szCs w:val="24"/>
          <w:shd w:val="clear" w:color="auto" w:fill="FFFFFF"/>
        </w:rPr>
        <w:t> </w:t>
      </w:r>
      <w:r w:rsidRPr="00AB5BC3">
        <w:rPr>
          <w:rFonts w:ascii="Atkinson Hyperlegible" w:eastAsia="Arial" w:hAnsi="Atkinson Hyperlegible" w:cs="Arial"/>
          <w:color w:val="000000" w:themeColor="text1"/>
          <w:sz w:val="24"/>
          <w:szCs w:val="24"/>
          <w:shd w:val="clear" w:color="auto" w:fill="FFFFFF"/>
        </w:rPr>
        <w:t>: défis et solutions proposées ».</w:t>
      </w:r>
    </w:p>
    <w:p w14:paraId="76420E44" w14:textId="77777777" w:rsidR="00F323B3" w:rsidRPr="00AB5BC3" w:rsidRDefault="00B01643">
      <w:pPr>
        <w:tabs>
          <w:tab w:val="left" w:pos="6520"/>
        </w:tabs>
        <w:jc w:val="both"/>
        <w:rPr>
          <w:rFonts w:ascii="Atkinson Hyperlegible" w:eastAsia="Arial" w:hAnsi="Atkinson Hyperlegible" w:cs="Arial"/>
          <w:sz w:val="24"/>
          <w:szCs w:val="24"/>
          <w:shd w:val="clear" w:color="auto" w:fill="FFFFFF"/>
        </w:rPr>
      </w:pPr>
      <w:r w:rsidRPr="00AB5BC3">
        <w:rPr>
          <w:rFonts w:ascii="Atkinson Hyperlegible" w:eastAsia="Arial" w:hAnsi="Atkinson Hyperlegible" w:cs="Arial"/>
          <w:sz w:val="24"/>
          <w:szCs w:val="24"/>
          <w:shd w:val="clear" w:color="auto" w:fill="FFFFFF"/>
        </w:rPr>
        <w:t xml:space="preserve">Mathieu, Marie, Juliette Froger-Lefebvre, et Anne-Lise </w:t>
      </w:r>
      <w:proofErr w:type="spellStart"/>
      <w:r w:rsidRPr="00AB5BC3">
        <w:rPr>
          <w:rFonts w:ascii="Atkinson Hyperlegible" w:eastAsia="Arial" w:hAnsi="Atkinson Hyperlegible" w:cs="Arial"/>
          <w:sz w:val="24"/>
          <w:szCs w:val="24"/>
          <w:shd w:val="clear" w:color="auto" w:fill="FFFFFF"/>
        </w:rPr>
        <w:t>Dall’Agnola</w:t>
      </w:r>
      <w:proofErr w:type="spellEnd"/>
      <w:r w:rsidRPr="00AB5BC3">
        <w:rPr>
          <w:rFonts w:ascii="Atkinson Hyperlegible" w:eastAsia="Arial" w:hAnsi="Atkinson Hyperlegible" w:cs="Arial"/>
          <w:sz w:val="24"/>
          <w:szCs w:val="24"/>
          <w:shd w:val="clear" w:color="auto" w:fill="FFFFFF"/>
        </w:rPr>
        <w:t>. « Des conditions sociales d’accès et de traitement de dossiers médicaux à leurs usages sociologiques. Retour sur une incursion collective au sein de services d’oncogénétique. » Communication au RT20 lors du congrès de l’Association Française de Sociologie à Toulouse. 2025.</w:t>
      </w:r>
    </w:p>
    <w:p w14:paraId="5F2A4628" w14:textId="77777777" w:rsidR="00F323B3" w:rsidRPr="00AB5BC3" w:rsidRDefault="00B01643">
      <w:pPr>
        <w:tabs>
          <w:tab w:val="left" w:pos="6520"/>
        </w:tabs>
        <w:jc w:val="both"/>
        <w:rPr>
          <w:rFonts w:ascii="Atkinson Hyperlegible" w:hAnsi="Atkinson Hyperlegible"/>
          <w:color w:val="000000" w:themeColor="text1"/>
        </w:rPr>
      </w:pPr>
      <w:r w:rsidRPr="00AB5BC3">
        <w:rPr>
          <w:rFonts w:ascii="Atkinson Hyperlegible" w:eastAsia="Arial" w:hAnsi="Atkinson Hyperlegible" w:cs="Arial"/>
          <w:color w:val="000000" w:themeColor="text1"/>
          <w:sz w:val="24"/>
          <w:szCs w:val="24"/>
          <w:shd w:val="clear" w:color="auto" w:fill="FFFFFF"/>
        </w:rPr>
        <w:t xml:space="preserve">Poulain, Claude. « Le projet SAFARI (1970-1974) », </w:t>
      </w:r>
      <w:r w:rsidRPr="00AB5BC3">
        <w:rPr>
          <w:rFonts w:ascii="Atkinson Hyperlegible" w:eastAsia="Arial" w:hAnsi="Atkinson Hyperlegible" w:cs="Arial"/>
          <w:i/>
          <w:color w:val="000000" w:themeColor="text1"/>
          <w:sz w:val="24"/>
          <w:szCs w:val="24"/>
          <w:shd w:val="clear" w:color="auto" w:fill="FFFFFF"/>
        </w:rPr>
        <w:t>Terminal. Technologie de l’information, culture &amp; société</w:t>
      </w:r>
      <w:r w:rsidRPr="00AB5BC3">
        <w:rPr>
          <w:rFonts w:ascii="Atkinson Hyperlegible" w:eastAsia="Arial" w:hAnsi="Atkinson Hyperlegible" w:cs="Arial"/>
          <w:color w:val="000000" w:themeColor="text1"/>
          <w:sz w:val="24"/>
          <w:szCs w:val="24"/>
          <w:shd w:val="clear" w:color="auto" w:fill="FFFFFF"/>
        </w:rPr>
        <w:t>. 2022, no 134</w:t>
      </w:r>
      <w:r w:rsidRPr="00AB5BC3">
        <w:rPr>
          <w:rFonts w:ascii="Atkinson Hyperlegible" w:eastAsia="Arial" w:hAnsi="Atkinson Hyperlegible" w:cs="Arial"/>
          <w:color w:val="000000" w:themeColor="text1"/>
          <w:sz w:val="24"/>
          <w:szCs w:val="24"/>
          <w:shd w:val="clear" w:color="auto" w:fill="FFFFFF"/>
        </w:rPr>
        <w:noBreakHyphen/>
        <w:t>135.</w:t>
      </w:r>
    </w:p>
    <w:p w14:paraId="73D24552" w14:textId="77777777" w:rsidR="00F323B3" w:rsidRPr="00AB5BC3" w:rsidRDefault="00B01643">
      <w:pPr>
        <w:tabs>
          <w:tab w:val="left" w:pos="6520"/>
        </w:tabs>
        <w:jc w:val="both"/>
        <w:rPr>
          <w:rFonts w:ascii="Atkinson Hyperlegible" w:eastAsia="Arial" w:hAnsi="Atkinson Hyperlegible" w:cs="Arial"/>
          <w:color w:val="000000" w:themeColor="text1"/>
          <w:sz w:val="24"/>
          <w:szCs w:val="24"/>
          <w:shd w:val="clear" w:color="auto" w:fill="FFFFFF"/>
        </w:rPr>
      </w:pPr>
      <w:proofErr w:type="spellStart"/>
      <w:r w:rsidRPr="00AB5BC3">
        <w:rPr>
          <w:rFonts w:ascii="Atkinson Hyperlegible" w:eastAsia="Arial" w:hAnsi="Atkinson Hyperlegible" w:cs="Arial"/>
          <w:color w:val="000000" w:themeColor="text1"/>
          <w:sz w:val="24"/>
          <w:szCs w:val="24"/>
          <w:shd w:val="clear" w:color="auto" w:fill="FFFFFF"/>
        </w:rPr>
        <w:t>Siblot</w:t>
      </w:r>
      <w:proofErr w:type="spellEnd"/>
      <w:r w:rsidRPr="00AB5BC3">
        <w:rPr>
          <w:rFonts w:ascii="Atkinson Hyperlegible" w:eastAsia="Arial" w:hAnsi="Atkinson Hyperlegible" w:cs="Arial"/>
          <w:color w:val="000000" w:themeColor="text1"/>
          <w:sz w:val="24"/>
          <w:szCs w:val="24"/>
          <w:shd w:val="clear" w:color="auto" w:fill="FFFFFF"/>
        </w:rPr>
        <w:t xml:space="preserve">, Yasmine. </w:t>
      </w:r>
      <w:r w:rsidRPr="00AB5BC3">
        <w:rPr>
          <w:rFonts w:ascii="Atkinson Hyperlegible" w:eastAsia="Arial" w:hAnsi="Atkinson Hyperlegible" w:cs="Arial"/>
          <w:i/>
          <w:color w:val="000000" w:themeColor="text1"/>
          <w:sz w:val="24"/>
          <w:szCs w:val="24"/>
          <w:shd w:val="clear" w:color="auto" w:fill="FFFFFF"/>
        </w:rPr>
        <w:t>Faire valoir ses droits au quotidien. Les services publics dans les quartiers populaires</w:t>
      </w:r>
      <w:r w:rsidRPr="00AB5BC3">
        <w:rPr>
          <w:rFonts w:ascii="Atkinson Hyperlegible" w:eastAsia="Arial" w:hAnsi="Atkinson Hyperlegible" w:cs="Arial"/>
          <w:color w:val="000000" w:themeColor="text1"/>
          <w:sz w:val="24"/>
          <w:szCs w:val="24"/>
          <w:shd w:val="clear" w:color="auto" w:fill="FFFFFF"/>
        </w:rPr>
        <w:t>. Paris : Presses de Sciences Po. 2006. 476 p.</w:t>
      </w:r>
    </w:p>
    <w:p w14:paraId="64BA3DFE" w14:textId="77777777" w:rsidR="00F323B3" w:rsidRPr="00AB5BC3" w:rsidRDefault="00B01643" w:rsidP="00AB5BC3">
      <w:pPr>
        <w:spacing w:line="240" w:lineRule="auto"/>
        <w:jc w:val="both"/>
        <w:rPr>
          <w:rFonts w:ascii="Atkinson Hyperlegible" w:hAnsi="Atkinson Hyperlegible" w:cs="Arial"/>
          <w:color w:val="000000" w:themeColor="text1"/>
          <w:sz w:val="24"/>
          <w:szCs w:val="24"/>
        </w:rPr>
      </w:pPr>
      <w:proofErr w:type="spellStart"/>
      <w:r w:rsidRPr="00AB5BC3">
        <w:rPr>
          <w:rFonts w:ascii="Atkinson Hyperlegible" w:hAnsi="Atkinson Hyperlegible" w:cs="Arial"/>
          <w:color w:val="000000" w:themeColor="text1"/>
          <w:sz w:val="24"/>
          <w:szCs w:val="24"/>
        </w:rPr>
        <w:t>Stérin</w:t>
      </w:r>
      <w:proofErr w:type="spellEnd"/>
      <w:r w:rsidRPr="00AB5BC3">
        <w:rPr>
          <w:rFonts w:ascii="Atkinson Hyperlegible" w:hAnsi="Atkinson Hyperlegible" w:cs="Arial"/>
          <w:color w:val="000000" w:themeColor="text1"/>
          <w:sz w:val="24"/>
          <w:szCs w:val="24"/>
        </w:rPr>
        <w:t xml:space="preserve">, Anne-Laure, et Camille </w:t>
      </w:r>
      <w:proofErr w:type="spellStart"/>
      <w:r w:rsidRPr="00AB5BC3">
        <w:rPr>
          <w:rFonts w:ascii="Atkinson Hyperlegible" w:hAnsi="Atkinson Hyperlegible" w:cs="Arial"/>
          <w:color w:val="000000" w:themeColor="text1"/>
          <w:sz w:val="24"/>
          <w:szCs w:val="24"/>
        </w:rPr>
        <w:t>Noûs</w:t>
      </w:r>
      <w:proofErr w:type="spellEnd"/>
      <w:r w:rsidRPr="00AB5BC3">
        <w:rPr>
          <w:rFonts w:ascii="Atkinson Hyperlegible" w:hAnsi="Atkinson Hyperlegible" w:cs="Arial"/>
          <w:color w:val="000000" w:themeColor="text1"/>
          <w:sz w:val="24"/>
          <w:szCs w:val="24"/>
        </w:rPr>
        <w:t>. « Ouverture des données de la recherche</w:t>
      </w:r>
      <w:r w:rsidRPr="00AB5BC3">
        <w:rPr>
          <w:rFonts w:ascii="Times New Roman" w:hAnsi="Times New Roman" w:cs="Times New Roman"/>
          <w:color w:val="000000" w:themeColor="text1"/>
          <w:sz w:val="24"/>
          <w:szCs w:val="24"/>
        </w:rPr>
        <w:t> </w:t>
      </w:r>
      <w:r w:rsidRPr="00AB5BC3">
        <w:rPr>
          <w:rFonts w:ascii="Atkinson Hyperlegible" w:hAnsi="Atkinson Hyperlegible" w:cs="Arial"/>
          <w:color w:val="000000" w:themeColor="text1"/>
          <w:sz w:val="24"/>
          <w:szCs w:val="24"/>
        </w:rPr>
        <w:t xml:space="preserve">: les mutations juridiques récentes ». </w:t>
      </w:r>
      <w:r w:rsidRPr="00AB5BC3">
        <w:rPr>
          <w:rFonts w:ascii="Atkinson Hyperlegible" w:hAnsi="Atkinson Hyperlegible" w:cs="Arial"/>
          <w:i/>
          <w:iCs/>
          <w:color w:val="000000" w:themeColor="text1"/>
          <w:sz w:val="24"/>
          <w:szCs w:val="24"/>
        </w:rPr>
        <w:t>Tracés. Revue de Sciences humaines</w:t>
      </w:r>
      <w:r w:rsidRPr="00AB5BC3">
        <w:rPr>
          <w:rFonts w:ascii="Atkinson Hyperlegible" w:hAnsi="Atkinson Hyperlegible" w:cs="Arial"/>
          <w:color w:val="000000" w:themeColor="text1"/>
          <w:sz w:val="24"/>
          <w:szCs w:val="24"/>
        </w:rPr>
        <w:t>. 2019, #19, p. 37</w:t>
      </w:r>
      <w:r w:rsidRPr="00AB5BC3">
        <w:rPr>
          <w:rFonts w:ascii="Atkinson Hyperlegible" w:hAnsi="Atkinson Hyperlegible" w:cs="Arial"/>
          <w:color w:val="000000" w:themeColor="text1"/>
          <w:sz w:val="24"/>
          <w:szCs w:val="24"/>
        </w:rPr>
        <w:noBreakHyphen/>
        <w:t>50.</w:t>
      </w:r>
    </w:p>
    <w:p w14:paraId="57E925FE" w14:textId="77777777" w:rsidR="00F323B3" w:rsidRPr="00AB5BC3" w:rsidRDefault="00B01643">
      <w:pPr>
        <w:pStyle w:val="Titre1"/>
        <w:rPr>
          <w:rFonts w:ascii="Atkinson Hyperlegible" w:hAnsi="Atkinson Hyperlegible"/>
        </w:rPr>
      </w:pPr>
      <w:bookmarkStart w:id="6" w:name="_Toc224647861"/>
      <w:r w:rsidRPr="00AB5BC3">
        <w:rPr>
          <w:rFonts w:ascii="Atkinson Hyperlegible" w:hAnsi="Atkinson Hyperlegible"/>
        </w:rPr>
        <w:t>Partenaires</w:t>
      </w:r>
      <w:bookmarkEnd w:id="6"/>
    </w:p>
    <w:p w14:paraId="2663709E" w14:textId="7451BB22" w:rsidR="00F323B3" w:rsidRDefault="00B01643">
      <w:r w:rsidRPr="00AB5BC3">
        <w:t xml:space="preserve"> </w:t>
      </w:r>
      <w:r w:rsidRPr="00AB5BC3">
        <w:rPr>
          <w:noProof/>
        </w:rPr>
        <w:drawing>
          <wp:inline distT="0" distB="0" distL="0" distR="0" wp14:anchorId="4FE43417" wp14:editId="00AF3645">
            <wp:extent cx="836930" cy="874592"/>
            <wp:effectExtent l="0" t="0" r="0" b="0"/>
            <wp:docPr id="2" name="Image 2" descr="Logo du LifeObs, l’Observatoire français des parcours de vie. Il s’agit d’une « infrastructure de recherche qui vise à développer un programme d’enquêtes longitudinales et innovantes sur les comportements familiaux, à accroître la diffusion des données, et à former les utilisate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du LifeObs, l’Observatoire français des parcours de vie. Il s’agit d’une « infrastructure de recherche qui vise à développer un programme d’enquêtes longitudinales et innovantes sur les comportements familiaux, à accroître la diffusion des données, et à former les utilisateurs »"/>
                    <pic:cNvPicPr>
                      <a:picLocks noChangeAspect="1"/>
                    </pic:cNvPicPr>
                  </pic:nvPicPr>
                  <pic:blipFill rotWithShape="1">
                    <a:blip r:embed="rId9"/>
                    <a:stretch/>
                  </pic:blipFill>
                  <pic:spPr bwMode="auto">
                    <a:xfrm>
                      <a:off x="0" y="0"/>
                      <a:ext cx="836929" cy="874591"/>
                    </a:xfrm>
                    <a:prstGeom prst="rect">
                      <a:avLst/>
                    </a:prstGeom>
                  </pic:spPr>
                </pic:pic>
              </a:graphicData>
            </a:graphic>
          </wp:inline>
        </w:drawing>
      </w:r>
      <w:r w:rsidRPr="00AB5BC3">
        <w:rPr>
          <w:noProof/>
        </w:rPr>
        <w:drawing>
          <wp:inline distT="0" distB="0" distL="0" distR="0" wp14:anchorId="539BA877" wp14:editId="380A1FDA">
            <wp:extent cx="1368263" cy="343506"/>
            <wp:effectExtent l="0" t="0" r="0" b="0"/>
            <wp:docPr id="4" name="Image 4" descr="Logo du laboratoire Printemps, « Professions, institutions, temporalités » sous la tutelle de l’UVSQ et du C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Logo du laboratoire Printemps, « Professions, institutions, temporalités » sous la tutelle de l’UVSQ et du CNRS."/>
                    <pic:cNvPicPr>
                      <a:picLocks noChangeAspect="1"/>
                    </pic:cNvPicPr>
                  </pic:nvPicPr>
                  <pic:blipFill rotWithShape="1">
                    <a:blip r:embed="rId10"/>
                    <a:stretch/>
                  </pic:blipFill>
                  <pic:spPr bwMode="auto">
                    <a:xfrm>
                      <a:off x="0" y="0"/>
                      <a:ext cx="1368263" cy="343506"/>
                    </a:xfrm>
                    <a:prstGeom prst="rect">
                      <a:avLst/>
                    </a:prstGeom>
                  </pic:spPr>
                </pic:pic>
              </a:graphicData>
            </a:graphic>
          </wp:inline>
        </w:drawing>
      </w:r>
      <w:r w:rsidRPr="00AB5BC3">
        <w:rPr>
          <w:noProof/>
        </w:rPr>
        <w:drawing>
          <wp:inline distT="0" distB="0" distL="0" distR="0" wp14:anchorId="6B5CBFFC" wp14:editId="603E18A9">
            <wp:extent cx="2095500" cy="573269"/>
            <wp:effectExtent l="0" t="0" r="0" b="0"/>
            <wp:docPr id="5" name="Image 5" descr="Logo de la Graduate school « Sociologie et Science politique » de l’université Paris-Sac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Logo de la Graduate school « Sociologie et Science politique » de l’université Paris-Saclay."/>
                    <pic:cNvPicPr>
                      <a:picLocks noChangeAspect="1"/>
                    </pic:cNvPicPr>
                  </pic:nvPicPr>
                  <pic:blipFill rotWithShape="1">
                    <a:blip r:embed="rId11"/>
                    <a:stretch/>
                  </pic:blipFill>
                  <pic:spPr bwMode="auto">
                    <a:xfrm>
                      <a:off x="0" y="0"/>
                      <a:ext cx="2095499" cy="573268"/>
                    </a:xfrm>
                    <a:prstGeom prst="rect">
                      <a:avLst/>
                    </a:prstGeom>
                  </pic:spPr>
                </pic:pic>
              </a:graphicData>
            </a:graphic>
          </wp:inline>
        </w:drawing>
      </w:r>
      <w:r w:rsidR="00D807A0" w:rsidRPr="00D807A0">
        <w:t xml:space="preserve"> </w:t>
      </w:r>
      <w:r w:rsidR="00D807A0">
        <w:rPr>
          <w:noProof/>
        </w:rPr>
        <w:drawing>
          <wp:inline distT="0" distB="0" distL="0" distR="0" wp14:anchorId="0DD62DC0" wp14:editId="20B14130">
            <wp:extent cx="1171575" cy="758354"/>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9048" cy="763191"/>
                    </a:xfrm>
                    <a:prstGeom prst="rect">
                      <a:avLst/>
                    </a:prstGeom>
                    <a:noFill/>
                    <a:ln>
                      <a:noFill/>
                    </a:ln>
                  </pic:spPr>
                </pic:pic>
              </a:graphicData>
            </a:graphic>
          </wp:inline>
        </w:drawing>
      </w:r>
    </w:p>
    <w:p w14:paraId="678C9DDA" w14:textId="45169206" w:rsidR="00FF09DB" w:rsidRPr="008F1F68" w:rsidRDefault="00FF09DB" w:rsidP="008F1F68">
      <w:pPr>
        <w:widowControl/>
        <w:spacing w:after="0" w:line="240" w:lineRule="auto"/>
        <w:rPr>
          <w:rFonts w:ascii="Atkinson Hyperlegible" w:eastAsia="Times New Roman" w:hAnsi="Atkinson Hyperlegible" w:cs="Arial"/>
          <w:color w:val="7F7F7F" w:themeColor="text1" w:themeTint="80"/>
        </w:rPr>
      </w:pPr>
      <w:r w:rsidRPr="00FF09DB">
        <w:rPr>
          <w:rFonts w:ascii="Atkinson Hyperlegible" w:eastAsia="Times New Roman" w:hAnsi="Atkinson Hyperlegible" w:cs="Arial"/>
          <w:color w:val="7F7F7F" w:themeColor="text1" w:themeTint="80"/>
        </w:rPr>
        <w:t>« Ce travail a bénéficié d'une aide de l'État au titre de France 2030 portant la référence "ANR-11-IDEX-003". »</w:t>
      </w:r>
    </w:p>
    <w:sectPr w:rsidR="00FF09DB" w:rsidRPr="008F1F68" w:rsidSect="000C27B5">
      <w:footerReference w:type="default" r:id="rId13"/>
      <w:pgSz w:w="11906" w:h="16838"/>
      <w:pgMar w:top="1843" w:right="1132" w:bottom="1424" w:left="1276" w:header="113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46EA" w14:textId="77777777" w:rsidR="00366738" w:rsidRDefault="00366738">
      <w:pPr>
        <w:spacing w:after="0" w:line="240" w:lineRule="auto"/>
      </w:pPr>
      <w:r>
        <w:separator/>
      </w:r>
    </w:p>
  </w:endnote>
  <w:endnote w:type="continuationSeparator" w:id="0">
    <w:p w14:paraId="567EC27E" w14:textId="77777777" w:rsidR="00366738" w:rsidRDefault="0036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altName w:val="Calibri"/>
    <w:panose1 w:val="00000000000000000000"/>
    <w:charset w:val="00"/>
    <w:family w:val="auto"/>
    <w:notTrueType/>
    <w:pitch w:val="variable"/>
    <w:sig w:usb0="00000027" w:usb1="00000000"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3FD5" w14:textId="77777777" w:rsidR="00F323B3" w:rsidRDefault="00B01643">
    <w:pPr>
      <w:pStyle w:val="Pieddepage"/>
      <w:jc w:val="right"/>
    </w:pPr>
    <w:r>
      <w:rPr>
        <w:color w:val="000000"/>
      </w:rPr>
      <w:t xml:space="preserve">Page </w:t>
    </w:r>
    <w:r>
      <w:rPr>
        <w:color w:val="000000"/>
      </w:rPr>
      <w:fldChar w:fldCharType="begin"/>
    </w:r>
    <w:r>
      <w:rPr>
        <w:color w:val="000000"/>
      </w:rPr>
      <w:instrText xml:space="preserve"> PAGE \* ARABIC </w:instrText>
    </w:r>
    <w:r>
      <w:rPr>
        <w:color w:val="000000"/>
      </w:rPr>
      <w:fldChar w:fldCharType="separate"/>
    </w:r>
    <w:r>
      <w:rPr>
        <w:color w:val="000000"/>
      </w:rPr>
      <w:t>2</w:t>
    </w:r>
    <w:r>
      <w:rPr>
        <w:color w:val="000000"/>
      </w:rPr>
      <w:fldChar w:fldCharType="end"/>
    </w:r>
    <w:r>
      <w:rPr>
        <w:color w:val="000000"/>
      </w:rPr>
      <w:t xml:space="preserve"> sur </w:t>
    </w:r>
    <w:r>
      <w:rPr>
        <w:color w:val="000000"/>
      </w:rPr>
      <w:fldChar w:fldCharType="begin"/>
    </w:r>
    <w:r>
      <w:rPr>
        <w:color w:val="000000"/>
      </w:rPr>
      <w:instrText xml:space="preserve"> NUMPAGES \* ARABIC </w:instrText>
    </w:r>
    <w:r>
      <w:rPr>
        <w:color w:val="000000"/>
      </w:rPr>
      <w:fldChar w:fldCharType="separate"/>
    </w:r>
    <w:r>
      <w:rPr>
        <w:color w:val="000000"/>
      </w:rPr>
      <w:t>2</w:t>
    </w:r>
    <w:r>
      <w:rPr>
        <w:color w:val="000000"/>
      </w:rPr>
      <w:fldChar w:fldCharType="end"/>
    </w:r>
  </w:p>
  <w:p w14:paraId="6C277EEE" w14:textId="77777777" w:rsidR="00F323B3" w:rsidRDefault="00F323B3">
    <w:pPr>
      <w:pStyle w:val="Pieddepage"/>
      <w:tabs>
        <w:tab w:val="clear" w:pos="4844"/>
        <w:tab w:val="clear" w:pos="96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5F13" w14:textId="77777777" w:rsidR="00366738" w:rsidRDefault="00366738">
      <w:pPr>
        <w:spacing w:after="0" w:line="240" w:lineRule="auto"/>
      </w:pPr>
      <w:r>
        <w:rPr>
          <w:color w:val="000000"/>
        </w:rPr>
        <w:separator/>
      </w:r>
    </w:p>
  </w:footnote>
  <w:footnote w:type="continuationSeparator" w:id="0">
    <w:p w14:paraId="6CA12B40" w14:textId="77777777" w:rsidR="00366738" w:rsidRDefault="00366738">
      <w:pPr>
        <w:spacing w:after="0" w:line="240" w:lineRule="auto"/>
      </w:pPr>
      <w:r>
        <w:continuationSeparator/>
      </w:r>
    </w:p>
  </w:footnote>
  <w:footnote w:id="1">
    <w:p w14:paraId="1B4984D8" w14:textId="77777777" w:rsidR="00F323B3" w:rsidRDefault="00B01643" w:rsidP="000C27B5">
      <w:pPr>
        <w:pStyle w:val="Notedebasdepage"/>
        <w:ind w:left="113" w:right="282" w:hanging="113"/>
        <w:jc w:val="both"/>
      </w:pPr>
      <w:r>
        <w:rPr>
          <w:rStyle w:val="Appelnotedebasdep"/>
        </w:rPr>
        <w:footnoteRef/>
      </w:r>
      <w:r>
        <w:t xml:space="preserve"> </w:t>
      </w:r>
      <w:r>
        <w:rPr>
          <w:color w:val="000000"/>
        </w:rPr>
        <w:t>Loi n° 78-17 du 6 janvier 1978 relative à l'informatique, aux fichiers et aux libertés individuelles</w:t>
      </w:r>
      <w:r>
        <w:rPr>
          <w:rFonts w:ascii="Arial" w:eastAsia="Arial" w:hAnsi="Arial" w:cs="Arial"/>
          <w:color w:val="000000"/>
        </w:rPr>
        <w:t>.</w:t>
      </w:r>
    </w:p>
  </w:footnote>
  <w:footnote w:id="2">
    <w:p w14:paraId="6E7A09FD" w14:textId="77777777" w:rsidR="00F323B3" w:rsidRDefault="00B01643" w:rsidP="000C27B5">
      <w:pPr>
        <w:pStyle w:val="Notedebasdepage"/>
        <w:ind w:left="113" w:right="282" w:hanging="113"/>
        <w:jc w:val="both"/>
      </w:pPr>
      <w:r>
        <w:rPr>
          <w:rStyle w:val="Appelnotedebasdep"/>
        </w:rPr>
        <w:footnoteRef/>
      </w:r>
      <w:r>
        <w:t xml:space="preserve"> </w:t>
      </w:r>
      <w:r>
        <w:rPr>
          <w:color w:val="000000"/>
        </w:rPr>
        <w:t>Voir la loi n° 2016-1321 du 7 octobre 2016 pour une République numérique ainsi que celle, antérieure, sur la liberté d'accès aux documents administratifs (loi n° 78-753 du 17 juillet 1978).</w:t>
      </w:r>
    </w:p>
    <w:p w14:paraId="166F37FB" w14:textId="77777777" w:rsidR="00F323B3" w:rsidRDefault="00F323B3" w:rsidP="000C27B5">
      <w:pPr>
        <w:ind w:left="-709" w:right="282"/>
      </w:pPr>
    </w:p>
  </w:footnote>
  <w:footnote w:id="3">
    <w:p w14:paraId="02BF4AFF" w14:textId="1AFF50D2" w:rsidR="00F323B3" w:rsidRDefault="00B01643" w:rsidP="000C27B5">
      <w:pPr>
        <w:pStyle w:val="Notedebasdepage"/>
        <w:ind w:left="113" w:right="282" w:hanging="113"/>
      </w:pPr>
      <w:r>
        <w:rPr>
          <w:rStyle w:val="Appelnotedebasdep"/>
        </w:rPr>
        <w:footnoteRef/>
      </w:r>
      <w:r>
        <w:t xml:space="preserve"> </w:t>
      </w:r>
      <w:r>
        <w:rPr>
          <w:color w:val="000000"/>
        </w:rPr>
        <w:t xml:space="preserve"> Il s’agit notamment de la loi n°51-711 du 7 juin 1951 sur l’obligation, la coordination et le secret en matière de statistiques et de la loi de 2018 relative à la protection des données personnelles.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7429F"/>
    <w:multiLevelType w:val="multilevel"/>
    <w:tmpl w:val="1E727754"/>
    <w:styleLink w:val="WWNum1"/>
    <w:lvl w:ilvl="0">
      <w:numFmt w:val="bullet"/>
      <w:pStyle w:val="WWNum1"/>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B3"/>
    <w:rsid w:val="000B1F59"/>
    <w:rsid w:val="000C27B5"/>
    <w:rsid w:val="002942B2"/>
    <w:rsid w:val="002B2B22"/>
    <w:rsid w:val="00366738"/>
    <w:rsid w:val="00407896"/>
    <w:rsid w:val="006620CA"/>
    <w:rsid w:val="007C4C2F"/>
    <w:rsid w:val="007D1EC6"/>
    <w:rsid w:val="008F1F68"/>
    <w:rsid w:val="00977998"/>
    <w:rsid w:val="00AB5BC3"/>
    <w:rsid w:val="00AC3909"/>
    <w:rsid w:val="00B01643"/>
    <w:rsid w:val="00CB744C"/>
    <w:rsid w:val="00CF7CBD"/>
    <w:rsid w:val="00D807A0"/>
    <w:rsid w:val="00F323B3"/>
    <w:rsid w:val="00FF0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41C7"/>
  <w15:docId w15:val="{9B19BA7C-F46C-3D42-B2C4-EA0DD5EF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spacing w:before="360" w:after="80"/>
      <w:outlineLvl w:val="0"/>
    </w:pPr>
    <w:rPr>
      <w:rFonts w:ascii="Arial" w:eastAsia="Arial" w:hAnsi="Arial" w:cs="Arial"/>
      <w:color w:val="2F5496"/>
      <w:sz w:val="28"/>
      <w:szCs w:val="28"/>
    </w:rPr>
  </w:style>
  <w:style w:type="paragraph" w:styleId="Titre2">
    <w:name w:val="heading 2"/>
    <w:basedOn w:val="Normal"/>
    <w:uiPriority w:val="9"/>
    <w:unhideWhenUsed/>
    <w:qFormat/>
    <w:pPr>
      <w:spacing w:before="160" w:after="80"/>
      <w:outlineLvl w:val="1"/>
    </w:pPr>
    <w:rPr>
      <w:rFonts w:ascii="Arial" w:eastAsia="Arial" w:hAnsi="Arial" w:cs="Arial"/>
      <w:b/>
      <w:color w:val="0F4761"/>
      <w:sz w:val="24"/>
      <w:szCs w:val="24"/>
    </w:rPr>
  </w:style>
  <w:style w:type="paragraph" w:styleId="Titre3">
    <w:name w:val="heading 3"/>
    <w:basedOn w:val="Normal"/>
    <w:uiPriority w:val="9"/>
    <w:semiHidden/>
    <w:unhideWhenUsed/>
    <w:qFormat/>
    <w:pPr>
      <w:spacing w:before="160" w:after="80"/>
      <w:outlineLvl w:val="2"/>
    </w:pPr>
    <w:rPr>
      <w:rFonts w:ascii="Arial" w:eastAsia="Arial" w:hAnsi="Arial" w:cs="Arial"/>
      <w:color w:val="0F4761"/>
      <w:sz w:val="28"/>
      <w:szCs w:val="28"/>
    </w:rPr>
  </w:style>
  <w:style w:type="paragraph" w:styleId="Titre4">
    <w:name w:val="heading 4"/>
    <w:basedOn w:val="Normal"/>
    <w:uiPriority w:val="9"/>
    <w:semiHidden/>
    <w:unhideWhenUsed/>
    <w:qFormat/>
    <w:pPr>
      <w:spacing w:before="80" w:after="40"/>
      <w:outlineLvl w:val="3"/>
    </w:pPr>
    <w:rPr>
      <w:rFonts w:ascii="Arial" w:eastAsia="Arial" w:hAnsi="Arial" w:cs="Arial"/>
      <w:i/>
      <w:color w:val="0F4761"/>
    </w:rPr>
  </w:style>
  <w:style w:type="paragraph" w:styleId="Titre5">
    <w:name w:val="heading 5"/>
    <w:basedOn w:val="Normal"/>
    <w:uiPriority w:val="9"/>
    <w:semiHidden/>
    <w:unhideWhenUsed/>
    <w:qFormat/>
    <w:pPr>
      <w:spacing w:before="80" w:after="40"/>
      <w:outlineLvl w:val="4"/>
    </w:pPr>
    <w:rPr>
      <w:rFonts w:ascii="Arial" w:eastAsia="Arial" w:hAnsi="Arial" w:cs="Arial"/>
      <w:color w:val="0F4761"/>
    </w:rPr>
  </w:style>
  <w:style w:type="paragraph" w:styleId="Titre6">
    <w:name w:val="heading 6"/>
    <w:basedOn w:val="Normal"/>
    <w:uiPriority w:val="9"/>
    <w:semiHidden/>
    <w:unhideWhenUsed/>
    <w:qFormat/>
    <w:pPr>
      <w:spacing w:before="40" w:after="0"/>
      <w:outlineLvl w:val="5"/>
    </w:pPr>
    <w:rPr>
      <w:rFonts w:ascii="Arial" w:eastAsia="Arial" w:hAnsi="Arial" w:cs="Arial"/>
      <w:i/>
      <w:color w:val="595959"/>
    </w:rPr>
  </w:style>
  <w:style w:type="paragraph" w:styleId="Titre7">
    <w:name w:val="heading 7"/>
    <w:basedOn w:val="Normal"/>
    <w:pPr>
      <w:spacing w:before="40" w:after="0"/>
      <w:outlineLvl w:val="6"/>
    </w:pPr>
    <w:rPr>
      <w:rFonts w:ascii="Arial" w:eastAsia="Arial" w:hAnsi="Arial" w:cs="Arial"/>
      <w:color w:val="595959"/>
    </w:rPr>
  </w:style>
  <w:style w:type="paragraph" w:styleId="Titre8">
    <w:name w:val="heading 8"/>
    <w:basedOn w:val="Normal"/>
    <w:pPr>
      <w:spacing w:after="0"/>
      <w:outlineLvl w:val="7"/>
    </w:pPr>
    <w:rPr>
      <w:rFonts w:ascii="Arial" w:eastAsia="Arial" w:hAnsi="Arial" w:cs="Arial"/>
      <w:i/>
      <w:color w:val="272727"/>
    </w:rPr>
  </w:style>
  <w:style w:type="paragraph" w:styleId="Titre9">
    <w:name w:val="heading 9"/>
    <w:basedOn w:val="Normal"/>
    <w:pPr>
      <w:spacing w:after="0"/>
      <w:outlineLvl w:val="8"/>
    </w:pPr>
    <w:rPr>
      <w:rFonts w:ascii="Arial" w:eastAsia="Arial" w:hAnsi="Arial" w:cs="Arial"/>
      <w:i/>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rPr>
      <w:rFonts w:ascii="Arial" w:eastAsia="Arial" w:hAnsi="Arial" w:cs="Arial"/>
      <w:color w:val="0F4761"/>
      <w:sz w:val="40"/>
      <w:szCs w:val="40"/>
    </w:rPr>
  </w:style>
  <w:style w:type="character" w:customStyle="1" w:styleId="Heading2Char">
    <w:name w:val="Heading 2 Char"/>
    <w:rPr>
      <w:rFonts w:ascii="Arial" w:eastAsia="Arial" w:hAnsi="Arial" w:cs="Arial"/>
      <w:b/>
      <w:color w:val="000000"/>
      <w:sz w:val="24"/>
      <w:szCs w:val="24"/>
    </w:rPr>
  </w:style>
  <w:style w:type="character" w:customStyle="1" w:styleId="Heading3Char">
    <w:name w:val="Heading 3 Char"/>
    <w:basedOn w:val="Policepardfaut"/>
    <w:rPr>
      <w:rFonts w:ascii="Arial" w:eastAsia="Arial" w:hAnsi="Arial" w:cs="Arial"/>
      <w:color w:val="0F4761"/>
      <w:sz w:val="28"/>
      <w:szCs w:val="28"/>
    </w:rPr>
  </w:style>
  <w:style w:type="character" w:customStyle="1" w:styleId="Heading4Char">
    <w:name w:val="Heading 4 Char"/>
    <w:basedOn w:val="Policepardfaut"/>
    <w:rPr>
      <w:rFonts w:ascii="Arial" w:eastAsia="Arial" w:hAnsi="Arial" w:cs="Arial"/>
      <w:i/>
      <w:color w:val="0F4761"/>
    </w:rPr>
  </w:style>
  <w:style w:type="character" w:customStyle="1" w:styleId="Heading5Char">
    <w:name w:val="Heading 5 Char"/>
    <w:basedOn w:val="Policepardfaut"/>
    <w:rPr>
      <w:rFonts w:ascii="Arial" w:eastAsia="Arial" w:hAnsi="Arial" w:cs="Arial"/>
      <w:color w:val="0F4761"/>
    </w:rPr>
  </w:style>
  <w:style w:type="character" w:customStyle="1" w:styleId="Heading6Char">
    <w:name w:val="Heading 6 Char"/>
    <w:basedOn w:val="Policepardfaut"/>
    <w:rPr>
      <w:rFonts w:ascii="Arial" w:eastAsia="Arial" w:hAnsi="Arial" w:cs="Arial"/>
      <w:i/>
      <w:color w:val="595959"/>
    </w:rPr>
  </w:style>
  <w:style w:type="character" w:customStyle="1" w:styleId="Heading7Char">
    <w:name w:val="Heading 7 Char"/>
    <w:basedOn w:val="Policepardfaut"/>
    <w:rPr>
      <w:rFonts w:ascii="Arial" w:eastAsia="Arial" w:hAnsi="Arial" w:cs="Arial"/>
      <w:color w:val="595959"/>
    </w:rPr>
  </w:style>
  <w:style w:type="character" w:customStyle="1" w:styleId="Heading8Char">
    <w:name w:val="Heading 8 Char"/>
    <w:basedOn w:val="Policepardfaut"/>
    <w:rPr>
      <w:rFonts w:ascii="Arial" w:eastAsia="Arial" w:hAnsi="Arial" w:cs="Arial"/>
      <w:i/>
      <w:color w:val="272727"/>
    </w:rPr>
  </w:style>
  <w:style w:type="character" w:customStyle="1" w:styleId="Heading9Char">
    <w:name w:val="Heading 9 Char"/>
    <w:basedOn w:val="Policepardfaut"/>
    <w:rPr>
      <w:rFonts w:ascii="Arial" w:eastAsia="Arial" w:hAnsi="Arial" w:cs="Arial"/>
      <w:i/>
      <w:color w:val="272727"/>
    </w:rPr>
  </w:style>
  <w:style w:type="character" w:customStyle="1" w:styleId="TitleChar">
    <w:name w:val="Title Char"/>
    <w:basedOn w:val="Policepardfaut"/>
    <w:rPr>
      <w:rFonts w:ascii="Arial" w:eastAsia="Arial" w:hAnsi="Arial" w:cs="Arial"/>
      <w:spacing w:val="-10"/>
      <w:sz w:val="56"/>
      <w:szCs w:val="56"/>
    </w:rPr>
  </w:style>
  <w:style w:type="character" w:customStyle="1" w:styleId="SubtitleChar">
    <w:name w:val="Subtitle Char"/>
    <w:basedOn w:val="Policepardfaut"/>
    <w:rPr>
      <w:color w:val="595959"/>
      <w:spacing w:val="15"/>
      <w:sz w:val="28"/>
      <w:szCs w:val="28"/>
    </w:rPr>
  </w:style>
  <w:style w:type="paragraph" w:styleId="Citation">
    <w:name w:val="Quote"/>
    <w:basedOn w:val="Normal"/>
    <w:pPr>
      <w:spacing w:before="160"/>
      <w:jc w:val="center"/>
    </w:pPr>
    <w:rPr>
      <w:i/>
      <w:color w:val="404040"/>
    </w:rPr>
  </w:style>
  <w:style w:type="character" w:customStyle="1" w:styleId="QuoteChar">
    <w:name w:val="Quote Char"/>
    <w:basedOn w:val="Policepardfaut"/>
    <w:rPr>
      <w:i/>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color w:val="0F4761"/>
    </w:rPr>
  </w:style>
  <w:style w:type="paragraph" w:styleId="Citationintense">
    <w:name w:val="Intense Quote"/>
    <w:basedOn w:val="Normal"/>
    <w:pPr>
      <w:spacing w:before="360" w:after="360"/>
      <w:ind w:left="864" w:right="864"/>
      <w:jc w:val="center"/>
    </w:pPr>
    <w:rPr>
      <w:i/>
      <w:color w:val="0F4761"/>
    </w:rPr>
  </w:style>
  <w:style w:type="character" w:customStyle="1" w:styleId="IntenseQuoteChar">
    <w:name w:val="Intense Quote Char"/>
    <w:basedOn w:val="Policepardfaut"/>
    <w:rPr>
      <w:i/>
      <w:color w:val="0F4761"/>
    </w:rPr>
  </w:style>
  <w:style w:type="character" w:styleId="Rfrenceintense">
    <w:name w:val="Intense Reference"/>
    <w:basedOn w:val="Policepardfaut"/>
    <w:rPr>
      <w:b/>
      <w:smallCaps/>
      <w:color w:val="0F4761"/>
      <w:spacing w:val="5"/>
    </w:rPr>
  </w:style>
  <w:style w:type="paragraph" w:styleId="Sansinterligne">
    <w:name w:val="No Spacing"/>
    <w:basedOn w:val="Normal"/>
    <w:pPr>
      <w:spacing w:after="0" w:line="240" w:lineRule="auto"/>
    </w:pPr>
  </w:style>
  <w:style w:type="character" w:styleId="Accentuationlgre">
    <w:name w:val="Subtle Emphasis"/>
    <w:basedOn w:val="Policepardfaut"/>
    <w:rPr>
      <w:i/>
      <w:color w:val="404040"/>
    </w:rPr>
  </w:style>
  <w:style w:type="character" w:styleId="Accentuation">
    <w:name w:val="Emphasis"/>
    <w:basedOn w:val="Policepardfaut"/>
    <w:rPr>
      <w:i/>
    </w:rPr>
  </w:style>
  <w:style w:type="character" w:styleId="lev">
    <w:name w:val="Strong"/>
    <w:basedOn w:val="Policepardfaut"/>
    <w:rPr>
      <w:b/>
    </w:rPr>
  </w:style>
  <w:style w:type="character" w:styleId="Rfrencelgre">
    <w:name w:val="Subtle Reference"/>
    <w:basedOn w:val="Policepardfaut"/>
    <w:rPr>
      <w:smallCaps/>
      <w:color w:val="5A5A5A"/>
    </w:rPr>
  </w:style>
  <w:style w:type="character" w:styleId="Titredulivre">
    <w:name w:val="Book Title"/>
    <w:basedOn w:val="Policepardfaut"/>
    <w:rPr>
      <w:b/>
      <w:i/>
      <w:spacing w:val="5"/>
    </w:rPr>
  </w:style>
  <w:style w:type="paragraph" w:styleId="En-tte">
    <w:name w:val="header"/>
    <w:basedOn w:val="Normal"/>
    <w:pPr>
      <w:tabs>
        <w:tab w:val="center" w:pos="4844"/>
        <w:tab w:val="right" w:pos="9689"/>
      </w:tabs>
      <w:spacing w:after="0" w:line="240" w:lineRule="auto"/>
    </w:pPr>
  </w:style>
  <w:style w:type="character" w:customStyle="1" w:styleId="HeaderChar">
    <w:name w:val="Header Char"/>
    <w:basedOn w:val="Policepardfaut"/>
  </w:style>
  <w:style w:type="paragraph" w:styleId="Pieddepage">
    <w:name w:val="footer"/>
    <w:basedOn w:val="Normal"/>
    <w:pPr>
      <w:tabs>
        <w:tab w:val="center" w:pos="4844"/>
        <w:tab w:val="right" w:pos="9689"/>
      </w:tabs>
      <w:spacing w:after="0" w:line="240" w:lineRule="auto"/>
    </w:pPr>
  </w:style>
  <w:style w:type="character" w:customStyle="1" w:styleId="FooterChar">
    <w:name w:val="Footer Char"/>
    <w:basedOn w:val="Policepardfaut"/>
  </w:style>
  <w:style w:type="paragraph" w:styleId="Lgende">
    <w:name w:val="caption"/>
    <w:basedOn w:val="Normal"/>
    <w:pPr>
      <w:spacing w:line="240" w:lineRule="auto"/>
    </w:pPr>
    <w:rPr>
      <w:i/>
      <w:color w:val="0E2841"/>
      <w:sz w:val="18"/>
      <w:szCs w:val="18"/>
    </w:rPr>
  </w:style>
  <w:style w:type="character" w:customStyle="1" w:styleId="FootnoteTextChar">
    <w:name w:val="Footnote Text Char"/>
    <w:basedOn w:val="Policepardfaut"/>
    <w:rPr>
      <w:sz w:val="20"/>
      <w:szCs w:val="20"/>
    </w:rPr>
  </w:style>
  <w:style w:type="paragraph" w:styleId="Notedefin">
    <w:name w:val="endnote text"/>
    <w:basedOn w:val="Normal"/>
    <w:pPr>
      <w:spacing w:after="0" w:line="240" w:lineRule="auto"/>
    </w:pPr>
    <w:rPr>
      <w:sz w:val="20"/>
      <w:szCs w:val="20"/>
    </w:rPr>
  </w:style>
  <w:style w:type="character" w:customStyle="1" w:styleId="EndnoteTextChar">
    <w:name w:val="Endnote Text Char"/>
    <w:basedOn w:val="Policepardfaut"/>
    <w:rPr>
      <w:sz w:val="20"/>
      <w:szCs w:val="20"/>
    </w:rPr>
  </w:style>
  <w:style w:type="character" w:styleId="Lienhypertextesuivivisit">
    <w:name w:val="FollowedHyperlink"/>
    <w:basedOn w:val="Policepardfaut"/>
    <w:rPr>
      <w:color w:val="954F72"/>
      <w:u w:val="single"/>
    </w:rPr>
  </w:style>
  <w:style w:type="paragraph" w:styleId="TM1">
    <w:name w:val="toc 1"/>
    <w:basedOn w:val="Normal"/>
    <w:uiPriority w:val="39"/>
    <w:pPr>
      <w:spacing w:after="100"/>
    </w:pPr>
  </w:style>
  <w:style w:type="paragraph" w:styleId="TM2">
    <w:name w:val="toc 2"/>
    <w:basedOn w:val="Normal"/>
    <w:pPr>
      <w:spacing w:after="100"/>
      <w:ind w:left="220"/>
    </w:pPr>
  </w:style>
  <w:style w:type="paragraph" w:styleId="TM3">
    <w:name w:val="toc 3"/>
    <w:basedOn w:val="Normal"/>
    <w:pPr>
      <w:spacing w:after="100"/>
      <w:ind w:left="440"/>
    </w:pPr>
  </w:style>
  <w:style w:type="paragraph" w:styleId="TM4">
    <w:name w:val="toc 4"/>
    <w:basedOn w:val="Normal"/>
    <w:pPr>
      <w:spacing w:after="100"/>
      <w:ind w:left="660"/>
    </w:pPr>
  </w:style>
  <w:style w:type="paragraph" w:styleId="TM5">
    <w:name w:val="toc 5"/>
    <w:basedOn w:val="Normal"/>
    <w:pPr>
      <w:spacing w:after="100"/>
      <w:ind w:left="880"/>
    </w:pPr>
  </w:style>
  <w:style w:type="paragraph" w:styleId="TM6">
    <w:name w:val="toc 6"/>
    <w:basedOn w:val="Normal"/>
    <w:pPr>
      <w:spacing w:after="100"/>
      <w:ind w:left="1100"/>
    </w:pPr>
  </w:style>
  <w:style w:type="paragraph" w:styleId="TM7">
    <w:name w:val="toc 7"/>
    <w:basedOn w:val="Normal"/>
    <w:pPr>
      <w:spacing w:after="100"/>
      <w:ind w:left="1320"/>
    </w:pPr>
  </w:style>
  <w:style w:type="paragraph" w:styleId="TM8">
    <w:name w:val="toc 8"/>
    <w:basedOn w:val="Normal"/>
    <w:pPr>
      <w:spacing w:after="100"/>
      <w:ind w:left="1540"/>
    </w:pPr>
  </w:style>
  <w:style w:type="paragraph" w:styleId="TM9">
    <w:name w:val="toc 9"/>
    <w:basedOn w:val="Normal"/>
    <w:pPr>
      <w:spacing w:after="100"/>
      <w:ind w:left="1760"/>
    </w:pPr>
  </w:style>
  <w:style w:type="character" w:styleId="Textedelespacerserv">
    <w:name w:val="Placeholder Text"/>
    <w:basedOn w:val="Policepardfaut"/>
    <w:rPr>
      <w:color w:val="666666"/>
    </w:rPr>
  </w:style>
  <w:style w:type="paragraph" w:styleId="En-ttedetabledesmatires">
    <w:name w:val="TOC Heading"/>
  </w:style>
  <w:style w:type="paragraph" w:styleId="Tabledesillustrations">
    <w:name w:val="table of figures"/>
    <w:basedOn w:val="Normal"/>
    <w:pPr>
      <w:spacing w:after="0"/>
    </w:pPr>
  </w:style>
  <w:style w:type="character" w:customStyle="1" w:styleId="Titre1Car">
    <w:name w:val="Titre 1 Car"/>
    <w:basedOn w:val="Policepardfaut"/>
    <w:rPr>
      <w:rFonts w:ascii="Arial" w:eastAsia="Arial" w:hAnsi="Arial" w:cs="Arial"/>
      <w:color w:val="2F5496"/>
      <w:sz w:val="28"/>
      <w:szCs w:val="28"/>
    </w:rPr>
  </w:style>
  <w:style w:type="paragraph" w:styleId="Titre">
    <w:name w:val="Title"/>
    <w:basedOn w:val="Normal"/>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rPr>
      <w:rFonts w:ascii="Arial" w:eastAsia="Arial" w:hAnsi="Arial" w:cs="Arial"/>
      <w:spacing w:val="-10"/>
      <w:sz w:val="56"/>
      <w:szCs w:val="56"/>
    </w:rPr>
  </w:style>
  <w:style w:type="paragraph" w:styleId="Sous-titre">
    <w:name w:val="Subtitle"/>
    <w:basedOn w:val="Normal"/>
    <w:uiPriority w:val="11"/>
    <w:qFormat/>
    <w:rPr>
      <w:color w:val="595959"/>
      <w:spacing w:val="15"/>
      <w:sz w:val="28"/>
      <w:szCs w:val="28"/>
    </w:rPr>
  </w:style>
  <w:style w:type="character" w:customStyle="1" w:styleId="Sous-titreCar">
    <w:name w:val="Sous-titre Car"/>
    <w:basedOn w:val="Policepardfaut"/>
    <w:rPr>
      <w:color w:val="595959"/>
      <w:spacing w:val="15"/>
      <w:sz w:val="28"/>
      <w:szCs w:val="28"/>
    </w:rPr>
  </w:style>
  <w:style w:type="paragraph" w:styleId="Notedebasdepage">
    <w:name w:val="footnote text"/>
    <w:basedOn w:val="Normal"/>
    <w:pPr>
      <w:spacing w:after="0" w:line="240" w:lineRule="auto"/>
    </w:pPr>
    <w:rPr>
      <w:sz w:val="20"/>
      <w:szCs w:val="20"/>
    </w:rPr>
  </w:style>
  <w:style w:type="character" w:customStyle="1" w:styleId="NotedebasdepageCar">
    <w:name w:val="Note de bas de page Car"/>
    <w:basedOn w:val="Policepardfaut"/>
    <w:rPr>
      <w:sz w:val="20"/>
      <w:szCs w:val="20"/>
    </w:rPr>
  </w:style>
  <w:style w:type="character" w:styleId="Appelnotedebasdep">
    <w:name w:val="footnote reference"/>
    <w:basedOn w:val="Policepardfaut"/>
    <w:rPr>
      <w:position w:val="0"/>
      <w:vertAlign w:val="superscript"/>
    </w:rPr>
  </w:style>
  <w:style w:type="character" w:styleId="Appeldenotedefin">
    <w:name w:val="endnote reference"/>
    <w:basedOn w:val="Policepardfaut"/>
    <w:rPr>
      <w:position w:val="0"/>
      <w:vertAlign w:val="superscript"/>
    </w:rPr>
  </w:style>
  <w:style w:type="character" w:styleId="Lienhypertexte">
    <w:name w:val="Hyperlink"/>
    <w:basedOn w:val="Policepardfaut"/>
    <w:uiPriority w:val="99"/>
    <w:rPr>
      <w:color w:val="0563C1"/>
      <w:u w:val="single"/>
    </w:rPr>
  </w:style>
  <w:style w:type="character" w:customStyle="1" w:styleId="Internetlink">
    <w:name w:val="Internet link"/>
    <w:rPr>
      <w:color w:val="0563C1"/>
      <w:u w:val="single"/>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rPr>
  </w:style>
  <w:style w:type="character" w:styleId="Marquedecommentaire">
    <w:name w:val="annotation reference"/>
    <w:basedOn w:val="Policepardfaut"/>
    <w:rPr>
      <w:sz w:val="16"/>
      <w:szCs w:val="16"/>
    </w:rPr>
  </w:style>
  <w:style w:type="character" w:customStyle="1" w:styleId="T1">
    <w:name w:val="T1"/>
    <w:rPr>
      <w:rFonts w:ascii="Symbol" w:eastAsia="Symbol" w:hAnsi="Symbol" w:cs="Symbol"/>
    </w:rPr>
  </w:style>
  <w:style w:type="character" w:customStyle="1" w:styleId="T2">
    <w:name w:val="T2"/>
    <w:rPr>
      <w:rFonts w:ascii="Courier New" w:eastAsia="Courier New" w:hAnsi="Courier New" w:cs="Courier New"/>
    </w:rPr>
  </w:style>
  <w:style w:type="character" w:customStyle="1" w:styleId="T3">
    <w:name w:val="T3"/>
    <w:rPr>
      <w:rFonts w:ascii="Wingdings" w:eastAsia="Wingdings" w:hAnsi="Wingdings" w:cs="Wingdings"/>
    </w:rPr>
  </w:style>
  <w:style w:type="character" w:customStyle="1" w:styleId="T4">
    <w:name w:val="T4"/>
    <w:rPr>
      <w:rFonts w:ascii="Symbol" w:eastAsia="Symbol" w:hAnsi="Symbol" w:cs="Symbol"/>
    </w:rPr>
  </w:style>
  <w:style w:type="character" w:customStyle="1" w:styleId="T5">
    <w:name w:val="T5"/>
    <w:rPr>
      <w:rFonts w:ascii="Courier New" w:eastAsia="Courier New" w:hAnsi="Courier New" w:cs="Courier New"/>
    </w:rPr>
  </w:style>
  <w:style w:type="character" w:customStyle="1" w:styleId="T6">
    <w:name w:val="T6"/>
    <w:rPr>
      <w:rFonts w:ascii="Wingdings" w:eastAsia="Wingdings" w:hAnsi="Wingdings" w:cs="Wingdings"/>
    </w:rPr>
  </w:style>
  <w:style w:type="character" w:customStyle="1" w:styleId="T7">
    <w:name w:val="T7"/>
    <w:rPr>
      <w:rFonts w:ascii="Symbol" w:eastAsia="Symbol" w:hAnsi="Symbol" w:cs="Symbol"/>
    </w:rPr>
  </w:style>
  <w:style w:type="character" w:customStyle="1" w:styleId="T8">
    <w:name w:val="T8"/>
    <w:rPr>
      <w:rFonts w:ascii="Courier New" w:eastAsia="Courier New" w:hAnsi="Courier New" w:cs="Courier New"/>
    </w:rPr>
  </w:style>
  <w:style w:type="character" w:customStyle="1" w:styleId="T9">
    <w:name w:val="T9"/>
    <w:rPr>
      <w:rFonts w:ascii="Wingdings" w:eastAsia="Wingdings" w:hAnsi="Wingdings" w:cs="Wingdings"/>
    </w:rPr>
  </w:style>
  <w:style w:type="character" w:customStyle="1" w:styleId="PieddepageCar">
    <w:name w:val="Pied de page Car"/>
    <w:basedOn w:val="Policepardfaut"/>
  </w:style>
  <w:style w:type="paragraph" w:styleId="Objetducommentaire">
    <w:name w:val="annotation subject"/>
    <w:basedOn w:val="Commentaire"/>
    <w:next w:val="Commentaire"/>
    <w:rPr>
      <w:b/>
      <w:bCs/>
    </w:rPr>
  </w:style>
  <w:style w:type="character" w:customStyle="1" w:styleId="CommentaireCar1">
    <w:name w:val="Commentaire Car1"/>
    <w:basedOn w:val="Policepardfaut"/>
    <w:rPr>
      <w:sz w:val="20"/>
      <w:szCs w:val="20"/>
    </w:rPr>
  </w:style>
  <w:style w:type="character" w:customStyle="1" w:styleId="ObjetducommentaireCar">
    <w:name w:val="Objet du commentaire Car"/>
    <w:basedOn w:val="CommentaireCar1"/>
    <w:rPr>
      <w:b/>
      <w:bCs/>
      <w:sz w:val="20"/>
      <w:szCs w:val="20"/>
    </w:rPr>
  </w:style>
  <w:style w:type="character" w:styleId="Mentionnonrsolue">
    <w:name w:val="Unresolved Mention"/>
    <w:basedOn w:val="Policepardfaut"/>
    <w:rPr>
      <w:color w:val="605E5C"/>
      <w:shd w:val="clear" w:color="auto" w:fill="E1DFDD"/>
    </w:rPr>
  </w:style>
  <w:style w:type="numbering" w:customStyle="1" w:styleId="WWNum1">
    <w:name w:val="WWNum1"/>
    <w:basedOn w:val="Aucuneliste"/>
    <w:pPr>
      <w:numPr>
        <w:numId w:val="1"/>
      </w:numPr>
    </w:pPr>
  </w:style>
  <w:style w:type="paragraph" w:styleId="Rvision">
    <w:name w:val="Revision"/>
    <w:hidden/>
    <w:uiPriority w:val="99"/>
    <w:semiHidden/>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nnees-admin.sciencesconf.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3340</Words>
  <Characters>18371</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AAC Journée d'étude Données et documents administratifs : quels usages et implications pour la recherche en sciences sociales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AAC Journée d'étude Données et documents administratifs : quels usages et implications pour la recherche en sciences sociales ?</dc:title>
  <dc:creator>Efstathia-Efi MARKOU</dc:creator>
  <cp:keywords>Recherche ; Sciences sociales ; Méthodes ; Données administratives</cp:keywords>
  <dc:description>Ce document contient l'appel à communication pour la journée d'études "Données et documents administratifs : quels usages et implications pour la recherche en sciences sociales ?" qui se tiendra le 16 novembre 2026 en Île-de-France. Le document contient l'appel à communication, les modalités de soumission et une bibliographie indicative.</dc:description>
  <cp:lastModifiedBy>Paul COCHET</cp:lastModifiedBy>
  <cp:revision>2</cp:revision>
  <cp:lastPrinted>2026-03-17T12:50:00Z</cp:lastPrinted>
  <dcterms:created xsi:type="dcterms:W3CDTF">2026-03-17T17:16:00Z</dcterms:created>
  <dcterms:modified xsi:type="dcterms:W3CDTF">2026-03-17T17:16:00Z</dcterms:modified>
</cp:coreProperties>
</file>